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7491F7" w14:textId="77777777" w:rsidR="00B940BA" w:rsidRPr="00CA1B76" w:rsidRDefault="002C2741" w:rsidP="006413D0">
      <w:pPr>
        <w:pStyle w:val="CaptionedFigure"/>
        <w:jc w:val="both"/>
        <w:rPr>
          <w:rFonts w:ascii="Times New Roman" w:hAnsi="Times New Roman" w:cs="Times New Roman"/>
        </w:rPr>
      </w:pPr>
      <w:r w:rsidRPr="00CA1B76">
        <w:rPr>
          <w:rFonts w:ascii="Times New Roman" w:hAnsi="Times New Roman" w:cs="Times New Roman"/>
          <w:noProof/>
        </w:rPr>
        <w:drawing>
          <wp:inline distT="0" distB="0" distL="0" distR="0" wp14:anchorId="26C2BDAC" wp14:editId="17F32B5B">
            <wp:extent cx="5334000" cy="3048000"/>
            <wp:effectExtent l="0" t="0" r="0" b="0"/>
            <wp:docPr id="10" name="Picture" descr="Supplementary Figure S1. Sex-specific global trends in LTBI prevalence, 1990-2023"/>
            <wp:cNvGraphicFramePr/>
            <a:graphic xmlns:a="http://schemas.openxmlformats.org/drawingml/2006/main">
              <a:graphicData uri="http://schemas.openxmlformats.org/drawingml/2006/picture">
                <pic:pic xmlns:pic="http://schemas.openxmlformats.org/drawingml/2006/picture">
                  <pic:nvPicPr>
                    <pic:cNvPr id="11" name="Picture" descr="latent_TB/outcome/appendix/fig_s_sex_trend_prevalence.png"/>
                    <pic:cNvPicPr>
                      <a:picLocks noChangeAspect="1" noChangeArrowheads="1"/>
                    </pic:cNvPicPr>
                  </pic:nvPicPr>
                  <pic:blipFill>
                    <a:blip r:embed="rId7"/>
                    <a:stretch>
                      <a:fillRect/>
                    </a:stretch>
                  </pic:blipFill>
                  <pic:spPr bwMode="auto">
                    <a:xfrm>
                      <a:off x="0" y="0"/>
                      <a:ext cx="5334000" cy="3048000"/>
                    </a:xfrm>
                    <a:prstGeom prst="rect">
                      <a:avLst/>
                    </a:prstGeom>
                    <a:noFill/>
                    <a:ln w="9525">
                      <a:noFill/>
                      <a:headEnd/>
                      <a:tailEnd/>
                    </a:ln>
                  </pic:spPr>
                </pic:pic>
              </a:graphicData>
            </a:graphic>
          </wp:inline>
        </w:drawing>
      </w:r>
    </w:p>
    <w:p w14:paraId="382740BE" w14:textId="4D17AB5F" w:rsidR="00B940BA" w:rsidRPr="00CA1B76" w:rsidRDefault="002C2741" w:rsidP="006413D0">
      <w:pPr>
        <w:pStyle w:val="a0"/>
        <w:jc w:val="both"/>
        <w:rPr>
          <w:rFonts w:ascii="Times New Roman" w:hAnsi="Times New Roman" w:cs="Times New Roman"/>
        </w:rPr>
      </w:pPr>
      <w:r w:rsidRPr="00CA1B76">
        <w:rPr>
          <w:rFonts w:ascii="Times New Roman" w:hAnsi="Times New Roman" w:cs="Times New Roman"/>
          <w:b/>
          <w:bCs/>
        </w:rPr>
        <w:t>Supplementary Fig</w:t>
      </w:r>
      <w:r>
        <w:rPr>
          <w:rFonts w:ascii="Times New Roman" w:hAnsi="Times New Roman" w:cs="Times New Roman" w:hint="eastAsia"/>
          <w:b/>
          <w:bCs/>
        </w:rPr>
        <w:t>.</w:t>
      </w:r>
      <w:r>
        <w:rPr>
          <w:rFonts w:ascii="Times New Roman" w:hAnsi="Times New Roman" w:cs="Times New Roman"/>
          <w:b/>
          <w:bCs/>
        </w:rPr>
        <w:t xml:space="preserve"> </w:t>
      </w:r>
      <w:r w:rsidRPr="00CA1B76">
        <w:rPr>
          <w:rFonts w:ascii="Times New Roman" w:hAnsi="Times New Roman" w:cs="Times New Roman"/>
          <w:b/>
          <w:bCs/>
        </w:rPr>
        <w:t>1</w:t>
      </w:r>
      <w:r>
        <w:rPr>
          <w:rFonts w:ascii="Times New Roman" w:hAnsi="Times New Roman" w:cs="Times New Roman"/>
          <w:b/>
          <w:bCs/>
        </w:rPr>
        <w:t>.</w:t>
      </w:r>
      <w:r w:rsidRPr="00CA1B76">
        <w:rPr>
          <w:rFonts w:ascii="Times New Roman" w:hAnsi="Times New Roman" w:cs="Times New Roman"/>
          <w:b/>
          <w:bCs/>
        </w:rPr>
        <w:t xml:space="preserve"> Sex-specific trends in global latent tuberculosis infection prevalence, 1990-2023.</w:t>
      </w:r>
      <w:r w:rsidRPr="00CA1B76">
        <w:rPr>
          <w:rFonts w:ascii="Times New Roman" w:hAnsi="Times New Roman" w:cs="Times New Roman"/>
        </w:rPr>
        <w:t xml:space="preserve"> Age-standardized prevalence rates per 100,000 population and prevalent cases in millions are presented for males (A, B) and females (C, D), respectively. Points and shaded bands denote GBD 2023 estimates with 95% uncertainty intervals; fitted lines denote</w:t>
      </w:r>
      <w:r w:rsidRPr="00CA1B76">
        <w:rPr>
          <w:rFonts w:ascii="Times New Roman" w:hAnsi="Times New Roman" w:cs="Times New Roman"/>
        </w:rPr>
        <w:t xml:space="preserve"> joinpoint regression estimates, with segment labels indicating annual percentage change (APC) and 95% confidence intervals.</w:t>
      </w:r>
      <w:r w:rsidR="006413D0">
        <w:rPr>
          <w:rFonts w:ascii="Times New Roman" w:hAnsi="Times New Roman" w:cs="Times New Roman" w:hint="eastAsia"/>
        </w:rPr>
        <w:t xml:space="preserve"> </w:t>
      </w:r>
      <w:r w:rsidR="006413D0" w:rsidRPr="006413D0">
        <w:rPr>
          <w:rFonts w:ascii="Times New Roman" w:hAnsi="Times New Roman" w:cs="Times New Roman"/>
        </w:rPr>
        <w:t>*P&lt;0.05, **P&lt;0.01, ***P&lt;0.001.</w:t>
      </w:r>
    </w:p>
    <w:p w14:paraId="54EB952F" w14:textId="25B4738D" w:rsidR="00B940BA" w:rsidRPr="00CA1B76" w:rsidRDefault="003C1983" w:rsidP="006413D0">
      <w:pPr>
        <w:pStyle w:val="CaptionedFigure"/>
        <w:jc w:val="both"/>
        <w:rPr>
          <w:rFonts w:ascii="Times New Roman" w:hAnsi="Times New Roman" w:cs="Times New Roman"/>
        </w:rPr>
      </w:pPr>
      <w:r>
        <w:rPr>
          <w:noProof/>
        </w:rPr>
        <w:lastRenderedPageBreak/>
        <w:drawing>
          <wp:inline distT="0" distB="0" distL="0" distR="0" wp14:anchorId="16C1BA92" wp14:editId="211F3E6B">
            <wp:extent cx="5334000" cy="3810000"/>
            <wp:effectExtent l="0" t="0" r="0" b="0"/>
            <wp:docPr id="13" name="Picture" title="fig:"/>
            <wp:cNvGraphicFramePr/>
            <a:graphic xmlns:a="http://schemas.openxmlformats.org/drawingml/2006/main">
              <a:graphicData uri="http://schemas.openxmlformats.org/drawingml/2006/picture">
                <pic:pic xmlns:pic="http://schemas.openxmlformats.org/drawingml/2006/picture">
                  <pic:nvPicPr>
                    <pic:cNvPr id="14" name="Picture" descr="C:\Users\dell\OneDrive\XMU\likangguo\2026\06%20zhujianlin\latent_TB\outcome\appendix\fig_s_age_trend_prevalence.png"/>
                    <pic:cNvPicPr>
                      <a:picLocks noChangeAspect="1" noChangeArrowheads="1"/>
                    </pic:cNvPicPr>
                  </pic:nvPicPr>
                  <pic:blipFill>
                    <a:blip r:embed="rId8"/>
                    <a:stretch>
                      <a:fillRect/>
                    </a:stretch>
                  </pic:blipFill>
                  <pic:spPr bwMode="auto">
                    <a:xfrm>
                      <a:off x="0" y="0"/>
                      <a:ext cx="5334000" cy="3810000"/>
                    </a:xfrm>
                    <a:prstGeom prst="rect">
                      <a:avLst/>
                    </a:prstGeom>
                    <a:noFill/>
                    <a:ln w="9525">
                      <a:noFill/>
                      <a:headEnd/>
                      <a:tailEnd/>
                    </a:ln>
                  </pic:spPr>
                </pic:pic>
              </a:graphicData>
            </a:graphic>
          </wp:inline>
        </w:drawing>
      </w:r>
    </w:p>
    <w:p w14:paraId="2CA1D801" w14:textId="61443468" w:rsidR="00B940BA" w:rsidRPr="00CA1B76" w:rsidRDefault="002C2741" w:rsidP="006413D0">
      <w:pPr>
        <w:pStyle w:val="a0"/>
        <w:jc w:val="both"/>
        <w:rPr>
          <w:rFonts w:ascii="Times New Roman" w:hAnsi="Times New Roman" w:cs="Times New Roman"/>
        </w:rPr>
      </w:pPr>
      <w:r w:rsidRPr="00CA1B76">
        <w:rPr>
          <w:rFonts w:ascii="Times New Roman" w:hAnsi="Times New Roman" w:cs="Times New Roman"/>
          <w:b/>
          <w:bCs/>
        </w:rPr>
        <w:t>Supplementary</w:t>
      </w:r>
      <w:r w:rsidRPr="00CA1B76">
        <w:rPr>
          <w:rFonts w:ascii="Times New Roman" w:hAnsi="Times New Roman" w:cs="Times New Roman"/>
          <w:b/>
          <w:bCs/>
        </w:rPr>
        <w:t xml:space="preserve"> Fig</w:t>
      </w:r>
      <w:r>
        <w:rPr>
          <w:rFonts w:ascii="Times New Roman" w:hAnsi="Times New Roman" w:cs="Times New Roman" w:hint="eastAsia"/>
          <w:b/>
          <w:bCs/>
        </w:rPr>
        <w:t>.</w:t>
      </w:r>
      <w:r>
        <w:rPr>
          <w:rFonts w:ascii="Times New Roman" w:hAnsi="Times New Roman" w:cs="Times New Roman"/>
          <w:b/>
          <w:bCs/>
        </w:rPr>
        <w:t xml:space="preserve"> </w:t>
      </w:r>
      <w:r>
        <w:rPr>
          <w:rFonts w:ascii="Times New Roman" w:hAnsi="Times New Roman" w:cs="Times New Roman"/>
          <w:b/>
          <w:bCs/>
        </w:rPr>
        <w:t>2</w:t>
      </w:r>
      <w:r>
        <w:rPr>
          <w:rFonts w:ascii="Times New Roman" w:hAnsi="Times New Roman" w:cs="Times New Roman"/>
          <w:b/>
          <w:bCs/>
        </w:rPr>
        <w:t>.</w:t>
      </w:r>
      <w:r w:rsidRPr="00CA1B76">
        <w:rPr>
          <w:rFonts w:ascii="Times New Roman" w:hAnsi="Times New Roman" w:cs="Times New Roman"/>
          <w:b/>
          <w:bCs/>
        </w:rPr>
        <w:t xml:space="preserve"> </w:t>
      </w:r>
      <w:r w:rsidRPr="00CA1B76">
        <w:rPr>
          <w:rFonts w:ascii="Times New Roman" w:hAnsi="Times New Roman" w:cs="Times New Roman"/>
          <w:b/>
          <w:bCs/>
        </w:rPr>
        <w:t>Age-specific trends in global latent tuberculosis infection prevalence, 1</w:t>
      </w:r>
      <w:r w:rsidRPr="00CA1B76">
        <w:rPr>
          <w:rFonts w:ascii="Times New Roman" w:hAnsi="Times New Roman" w:cs="Times New Roman"/>
          <w:b/>
          <w:bCs/>
        </w:rPr>
        <w:t>990-2023.</w:t>
      </w:r>
      <w:r w:rsidRPr="00CA1B76">
        <w:rPr>
          <w:rFonts w:ascii="Times New Roman" w:hAnsi="Times New Roman" w:cs="Times New Roman"/>
        </w:rPr>
        <w:t xml:space="preserve"> Age-specific prevalence rates per 100,000 population and prevalent cases in millions are presented for people younger than 20 years (A, B), adults aged 20-54 years (C, D), and adults aged 55 years or older (E, F). Points and shaded bands denote G</w:t>
      </w:r>
      <w:r w:rsidRPr="00CA1B76">
        <w:rPr>
          <w:rFonts w:ascii="Times New Roman" w:hAnsi="Times New Roman" w:cs="Times New Roman"/>
        </w:rPr>
        <w:t>BD 2023 estimates with 95% uncertainty intervals; fitted lines denote joinpoint regression estimates, with segment labels indicating APC and 95% confidence intervals.</w:t>
      </w:r>
      <w:r w:rsidR="006413D0">
        <w:rPr>
          <w:rFonts w:ascii="Times New Roman" w:hAnsi="Times New Roman" w:cs="Times New Roman" w:hint="eastAsia"/>
        </w:rPr>
        <w:t xml:space="preserve"> </w:t>
      </w:r>
      <w:r w:rsidR="006413D0" w:rsidRPr="006413D0">
        <w:rPr>
          <w:rFonts w:ascii="Times New Roman" w:hAnsi="Times New Roman" w:cs="Times New Roman"/>
        </w:rPr>
        <w:t>**P&lt;0.01, ***P&lt;0.001.</w:t>
      </w:r>
    </w:p>
    <w:p w14:paraId="2A341A35" w14:textId="7A22CE50" w:rsidR="00CA1B76" w:rsidRPr="00CA1B76" w:rsidRDefault="00CA1B76" w:rsidP="006413D0">
      <w:pPr>
        <w:pStyle w:val="a0"/>
        <w:jc w:val="both"/>
        <w:rPr>
          <w:rFonts w:ascii="Times New Roman" w:hAnsi="Times New Roman" w:cs="Times New Roman"/>
        </w:rPr>
      </w:pPr>
      <w:r w:rsidRPr="00CA1B76">
        <w:rPr>
          <w:rFonts w:ascii="Times New Roman" w:hAnsi="Times New Roman" w:cs="Times New Roman"/>
          <w:noProof/>
        </w:rPr>
        <w:lastRenderedPageBreak/>
        <w:drawing>
          <wp:inline distT="0" distB="0" distL="0" distR="0" wp14:anchorId="43302CD1" wp14:editId="136267BB">
            <wp:extent cx="5334000" cy="3257550"/>
            <wp:effectExtent l="0" t="0" r="0" b="0"/>
            <wp:docPr id="2123071126" name="图片 2" descr="Supplementary Figure S7. Fine-age sensitivity analysis of global LTBI prevalent ca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Supplementary Figure S7. Fine-age sensitivity analysis of global LTBI prevalent cases"/>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34000" cy="3257550"/>
                    </a:xfrm>
                    <a:prstGeom prst="rect">
                      <a:avLst/>
                    </a:prstGeom>
                    <a:noFill/>
                    <a:ln>
                      <a:noFill/>
                    </a:ln>
                  </pic:spPr>
                </pic:pic>
              </a:graphicData>
            </a:graphic>
          </wp:inline>
        </w:drawing>
      </w:r>
    </w:p>
    <w:p w14:paraId="2BDE21AC" w14:textId="5D657092" w:rsidR="00CA1B76" w:rsidRPr="00CA1B76" w:rsidRDefault="00CA1B76" w:rsidP="006413D0">
      <w:pPr>
        <w:pStyle w:val="a0"/>
        <w:jc w:val="both"/>
        <w:rPr>
          <w:rFonts w:ascii="Times New Roman" w:hAnsi="Times New Roman" w:cs="Times New Roman"/>
        </w:rPr>
      </w:pPr>
      <w:r w:rsidRPr="00CA1B76">
        <w:rPr>
          <w:rFonts w:ascii="Times New Roman" w:hAnsi="Times New Roman" w:cs="Times New Roman"/>
          <w:b/>
          <w:bCs/>
        </w:rPr>
        <w:t>Supplementary</w:t>
      </w:r>
      <w:r w:rsidR="002C2741" w:rsidRPr="00CA1B76">
        <w:rPr>
          <w:rFonts w:ascii="Times New Roman" w:hAnsi="Times New Roman" w:cs="Times New Roman"/>
          <w:b/>
          <w:bCs/>
        </w:rPr>
        <w:t xml:space="preserve"> Fig</w:t>
      </w:r>
      <w:r w:rsidR="002C2741">
        <w:rPr>
          <w:rFonts w:ascii="Times New Roman" w:hAnsi="Times New Roman" w:cs="Times New Roman" w:hint="eastAsia"/>
          <w:b/>
          <w:bCs/>
        </w:rPr>
        <w:t>.</w:t>
      </w:r>
      <w:r w:rsidR="002C2741">
        <w:rPr>
          <w:rFonts w:ascii="Times New Roman" w:hAnsi="Times New Roman" w:cs="Times New Roman"/>
          <w:b/>
          <w:bCs/>
        </w:rPr>
        <w:t xml:space="preserve"> </w:t>
      </w:r>
      <w:r w:rsidR="002C2741">
        <w:rPr>
          <w:rFonts w:ascii="Times New Roman" w:hAnsi="Times New Roman" w:cs="Times New Roman"/>
          <w:b/>
          <w:bCs/>
        </w:rPr>
        <w:t>3</w:t>
      </w:r>
      <w:r w:rsidR="002C2741">
        <w:rPr>
          <w:rFonts w:ascii="Times New Roman" w:hAnsi="Times New Roman" w:cs="Times New Roman"/>
          <w:b/>
          <w:bCs/>
        </w:rPr>
        <w:t>.</w:t>
      </w:r>
      <w:r w:rsidR="002C2741" w:rsidRPr="00CA1B76">
        <w:rPr>
          <w:rFonts w:ascii="Times New Roman" w:hAnsi="Times New Roman" w:cs="Times New Roman"/>
          <w:b/>
          <w:bCs/>
        </w:rPr>
        <w:t xml:space="preserve"> </w:t>
      </w:r>
      <w:r w:rsidRPr="00CA1B76">
        <w:rPr>
          <w:rFonts w:ascii="Times New Roman" w:hAnsi="Times New Roman" w:cs="Times New Roman"/>
          <w:b/>
          <w:bCs/>
        </w:rPr>
        <w:t>Fine-age sensitivity analysis of global latent tuberculosis infection prevalent cases.</w:t>
      </w:r>
      <w:r w:rsidRPr="00CA1B76">
        <w:rPr>
          <w:rFonts w:ascii="Times New Roman" w:hAnsi="Times New Roman" w:cs="Times New Roman"/>
        </w:rPr>
        <w:t xml:space="preserve"> The neutral within-band allocation combines GBD 2023 broad-age prevalence rates with UN population denominators regrouped as younger than 20, 20-39, 40-54, 55-69, and 70 years or older. This sensitivity analysis preserves the observed or projected prevalence rate within each broad GBD age stratum while illustrating the contribution of finer age groups to global prevalent cases.</w:t>
      </w:r>
    </w:p>
    <w:p w14:paraId="7EC13D8B" w14:textId="77777777" w:rsidR="00CA1B76" w:rsidRPr="00CA1B76" w:rsidRDefault="00CA1B76" w:rsidP="006413D0">
      <w:pPr>
        <w:pStyle w:val="a0"/>
        <w:jc w:val="both"/>
        <w:rPr>
          <w:rFonts w:ascii="Times New Roman" w:hAnsi="Times New Roman" w:cs="Times New Roman"/>
        </w:rPr>
      </w:pPr>
    </w:p>
    <w:p w14:paraId="57E87833" w14:textId="77777777" w:rsidR="00B940BA" w:rsidRPr="00CA1B76" w:rsidRDefault="002C2741" w:rsidP="006413D0">
      <w:pPr>
        <w:pStyle w:val="CaptionedFigure"/>
        <w:jc w:val="both"/>
        <w:rPr>
          <w:rFonts w:ascii="Times New Roman" w:hAnsi="Times New Roman" w:cs="Times New Roman"/>
        </w:rPr>
      </w:pPr>
      <w:r w:rsidRPr="00CA1B76">
        <w:rPr>
          <w:rFonts w:ascii="Times New Roman" w:hAnsi="Times New Roman" w:cs="Times New Roman"/>
          <w:noProof/>
        </w:rPr>
        <w:lastRenderedPageBreak/>
        <w:drawing>
          <wp:inline distT="0" distB="0" distL="0" distR="0" wp14:anchorId="0B62311E" wp14:editId="51030CDC">
            <wp:extent cx="5334000" cy="4572000"/>
            <wp:effectExtent l="0" t="0" r="0" b="0"/>
            <wp:docPr id="16" name="Picture" descr="Supplementary Figure S3. Age-standardized LTBI prevalence rates by SDI quintile, 1990-2023"/>
            <wp:cNvGraphicFramePr/>
            <a:graphic xmlns:a="http://schemas.openxmlformats.org/drawingml/2006/main">
              <a:graphicData uri="http://schemas.openxmlformats.org/drawingml/2006/picture">
                <pic:pic xmlns:pic="http://schemas.openxmlformats.org/drawingml/2006/picture">
                  <pic:nvPicPr>
                    <pic:cNvPr id="17" name="Picture" descr="latent_TB/outcome/appendix/fig_s_sdi_rate_prevalence.png"/>
                    <pic:cNvPicPr>
                      <a:picLocks noChangeAspect="1" noChangeArrowheads="1"/>
                    </pic:cNvPicPr>
                  </pic:nvPicPr>
                  <pic:blipFill>
                    <a:blip r:embed="rId10"/>
                    <a:stretch>
                      <a:fillRect/>
                    </a:stretch>
                  </pic:blipFill>
                  <pic:spPr bwMode="auto">
                    <a:xfrm>
                      <a:off x="0" y="0"/>
                      <a:ext cx="5334000" cy="4572000"/>
                    </a:xfrm>
                    <a:prstGeom prst="rect">
                      <a:avLst/>
                    </a:prstGeom>
                    <a:noFill/>
                    <a:ln w="9525">
                      <a:noFill/>
                      <a:headEnd/>
                      <a:tailEnd/>
                    </a:ln>
                  </pic:spPr>
                </pic:pic>
              </a:graphicData>
            </a:graphic>
          </wp:inline>
        </w:drawing>
      </w:r>
    </w:p>
    <w:p w14:paraId="2EE551B4" w14:textId="239C6085" w:rsidR="00B940BA" w:rsidRPr="00CA1B76" w:rsidRDefault="002C2741" w:rsidP="006413D0">
      <w:pPr>
        <w:pStyle w:val="a0"/>
        <w:jc w:val="both"/>
        <w:rPr>
          <w:rFonts w:ascii="Times New Roman" w:hAnsi="Times New Roman" w:cs="Times New Roman"/>
        </w:rPr>
      </w:pPr>
      <w:r w:rsidRPr="00CA1B76">
        <w:rPr>
          <w:rFonts w:ascii="Times New Roman" w:hAnsi="Times New Roman" w:cs="Times New Roman"/>
          <w:b/>
          <w:bCs/>
        </w:rPr>
        <w:t>Supplementary</w:t>
      </w:r>
      <w:r w:rsidRPr="00CA1B76">
        <w:rPr>
          <w:rFonts w:ascii="Times New Roman" w:hAnsi="Times New Roman" w:cs="Times New Roman"/>
          <w:b/>
          <w:bCs/>
        </w:rPr>
        <w:t xml:space="preserve"> Fig</w:t>
      </w:r>
      <w:r>
        <w:rPr>
          <w:rFonts w:ascii="Times New Roman" w:hAnsi="Times New Roman" w:cs="Times New Roman" w:hint="eastAsia"/>
          <w:b/>
          <w:bCs/>
        </w:rPr>
        <w:t>.</w:t>
      </w:r>
      <w:r>
        <w:rPr>
          <w:rFonts w:ascii="Times New Roman" w:hAnsi="Times New Roman" w:cs="Times New Roman"/>
          <w:b/>
          <w:bCs/>
        </w:rPr>
        <w:t xml:space="preserve"> </w:t>
      </w:r>
      <w:r>
        <w:rPr>
          <w:rFonts w:ascii="Times New Roman" w:hAnsi="Times New Roman" w:cs="Times New Roman"/>
          <w:b/>
          <w:bCs/>
        </w:rPr>
        <w:t>4</w:t>
      </w:r>
      <w:r>
        <w:rPr>
          <w:rFonts w:ascii="Times New Roman" w:hAnsi="Times New Roman" w:cs="Times New Roman"/>
          <w:b/>
          <w:bCs/>
        </w:rPr>
        <w:t>.</w:t>
      </w:r>
      <w:r w:rsidRPr="00CA1B76">
        <w:rPr>
          <w:rFonts w:ascii="Times New Roman" w:hAnsi="Times New Roman" w:cs="Times New Roman"/>
          <w:b/>
          <w:bCs/>
        </w:rPr>
        <w:t xml:space="preserve"> </w:t>
      </w:r>
      <w:r w:rsidRPr="00CA1B76">
        <w:rPr>
          <w:rFonts w:ascii="Times New Roman" w:hAnsi="Times New Roman" w:cs="Times New Roman"/>
          <w:b/>
          <w:bCs/>
        </w:rPr>
        <w:t>Age-standardized latent tuberculosis infection prevalenc</w:t>
      </w:r>
      <w:r w:rsidRPr="00CA1B76">
        <w:rPr>
          <w:rFonts w:ascii="Times New Roman" w:hAnsi="Times New Roman" w:cs="Times New Roman"/>
          <w:b/>
          <w:bCs/>
        </w:rPr>
        <w:t>e rates by socio-demographic index (SDI) quintile, 1990-2023.</w:t>
      </w:r>
      <w:r w:rsidRPr="00CA1B76">
        <w:rPr>
          <w:rFonts w:ascii="Times New Roman" w:hAnsi="Times New Roman" w:cs="Times New Roman"/>
        </w:rPr>
        <w:t xml:space="preserve"> Rates are expressed per 100,000 population for (A) high-middle SDI, (B) high SDI, (C) low-middle SDI, (D) low SDI, and (E) middle SDI groups. Points and shaded bands denote GBD 2023 estimates wi</w:t>
      </w:r>
      <w:r w:rsidRPr="00CA1B76">
        <w:rPr>
          <w:rFonts w:ascii="Times New Roman" w:hAnsi="Times New Roman" w:cs="Times New Roman"/>
        </w:rPr>
        <w:t>th 95% uncertainty intervals; fitted lines denote joinpoint regression estimates, with segment labels indicating APC and 95% confidence intervals.</w:t>
      </w:r>
      <w:r w:rsidR="006413D0" w:rsidRPr="006413D0">
        <w:t xml:space="preserve"> </w:t>
      </w:r>
      <w:r w:rsidR="006413D0" w:rsidRPr="006413D0">
        <w:rPr>
          <w:rFonts w:ascii="Times New Roman" w:hAnsi="Times New Roman" w:cs="Times New Roman"/>
        </w:rPr>
        <w:t>**P&lt;0.01, ***P&lt;0.001.</w:t>
      </w:r>
    </w:p>
    <w:p w14:paraId="2E7C349E" w14:textId="77777777" w:rsidR="00B940BA" w:rsidRPr="00CA1B76" w:rsidRDefault="002C2741" w:rsidP="006413D0">
      <w:pPr>
        <w:pStyle w:val="CaptionedFigure"/>
        <w:jc w:val="both"/>
        <w:rPr>
          <w:rFonts w:ascii="Times New Roman" w:hAnsi="Times New Roman" w:cs="Times New Roman"/>
        </w:rPr>
      </w:pPr>
      <w:r w:rsidRPr="00CA1B76">
        <w:rPr>
          <w:rFonts w:ascii="Times New Roman" w:hAnsi="Times New Roman" w:cs="Times New Roman"/>
          <w:noProof/>
        </w:rPr>
        <w:lastRenderedPageBreak/>
        <w:drawing>
          <wp:inline distT="0" distB="0" distL="0" distR="0" wp14:anchorId="7D114044" wp14:editId="19DB6392">
            <wp:extent cx="5334000" cy="4572000"/>
            <wp:effectExtent l="0" t="0" r="0" b="0"/>
            <wp:docPr id="19" name="Picture" descr="Supplementary Figure S4. LTBI prevalent cases by SDI quintile, 1990-2023"/>
            <wp:cNvGraphicFramePr/>
            <a:graphic xmlns:a="http://schemas.openxmlformats.org/drawingml/2006/main">
              <a:graphicData uri="http://schemas.openxmlformats.org/drawingml/2006/picture">
                <pic:pic xmlns:pic="http://schemas.openxmlformats.org/drawingml/2006/picture">
                  <pic:nvPicPr>
                    <pic:cNvPr id="20" name="Picture" descr="latent_TB/outcome/appendix/fig_s_sdi_number_prevalence.png"/>
                    <pic:cNvPicPr>
                      <a:picLocks noChangeAspect="1" noChangeArrowheads="1"/>
                    </pic:cNvPicPr>
                  </pic:nvPicPr>
                  <pic:blipFill>
                    <a:blip r:embed="rId11"/>
                    <a:stretch>
                      <a:fillRect/>
                    </a:stretch>
                  </pic:blipFill>
                  <pic:spPr bwMode="auto">
                    <a:xfrm>
                      <a:off x="0" y="0"/>
                      <a:ext cx="5334000" cy="4572000"/>
                    </a:xfrm>
                    <a:prstGeom prst="rect">
                      <a:avLst/>
                    </a:prstGeom>
                    <a:noFill/>
                    <a:ln w="9525">
                      <a:noFill/>
                      <a:headEnd/>
                      <a:tailEnd/>
                    </a:ln>
                  </pic:spPr>
                </pic:pic>
              </a:graphicData>
            </a:graphic>
          </wp:inline>
        </w:drawing>
      </w:r>
    </w:p>
    <w:p w14:paraId="5F316D25" w14:textId="61D65D97" w:rsidR="00B940BA" w:rsidRPr="00CA1B76" w:rsidRDefault="002C2741" w:rsidP="006413D0">
      <w:pPr>
        <w:pStyle w:val="a0"/>
        <w:jc w:val="both"/>
        <w:rPr>
          <w:rFonts w:ascii="Times New Roman" w:hAnsi="Times New Roman" w:cs="Times New Roman"/>
        </w:rPr>
      </w:pPr>
      <w:r w:rsidRPr="00CA1B76">
        <w:rPr>
          <w:rFonts w:ascii="Times New Roman" w:hAnsi="Times New Roman" w:cs="Times New Roman"/>
          <w:b/>
          <w:bCs/>
        </w:rPr>
        <w:t>Supplementary</w:t>
      </w:r>
      <w:r w:rsidRPr="00CA1B76">
        <w:rPr>
          <w:rFonts w:ascii="Times New Roman" w:hAnsi="Times New Roman" w:cs="Times New Roman"/>
          <w:b/>
          <w:bCs/>
        </w:rPr>
        <w:t xml:space="preserve"> Fig</w:t>
      </w:r>
      <w:r>
        <w:rPr>
          <w:rFonts w:ascii="Times New Roman" w:hAnsi="Times New Roman" w:cs="Times New Roman" w:hint="eastAsia"/>
          <w:b/>
          <w:bCs/>
        </w:rPr>
        <w:t>.</w:t>
      </w:r>
      <w:r>
        <w:rPr>
          <w:rFonts w:ascii="Times New Roman" w:hAnsi="Times New Roman" w:cs="Times New Roman"/>
          <w:b/>
          <w:bCs/>
        </w:rPr>
        <w:t xml:space="preserve"> </w:t>
      </w:r>
      <w:r>
        <w:rPr>
          <w:rFonts w:ascii="Times New Roman" w:hAnsi="Times New Roman" w:cs="Times New Roman"/>
          <w:b/>
          <w:bCs/>
        </w:rPr>
        <w:t>5</w:t>
      </w:r>
      <w:r>
        <w:rPr>
          <w:rFonts w:ascii="Times New Roman" w:hAnsi="Times New Roman" w:cs="Times New Roman"/>
          <w:b/>
          <w:bCs/>
        </w:rPr>
        <w:t>.</w:t>
      </w:r>
      <w:r w:rsidRPr="00CA1B76">
        <w:rPr>
          <w:rFonts w:ascii="Times New Roman" w:hAnsi="Times New Roman" w:cs="Times New Roman"/>
          <w:b/>
          <w:bCs/>
        </w:rPr>
        <w:t xml:space="preserve"> </w:t>
      </w:r>
      <w:r w:rsidRPr="00CA1B76">
        <w:rPr>
          <w:rFonts w:ascii="Times New Roman" w:hAnsi="Times New Roman" w:cs="Times New Roman"/>
          <w:b/>
          <w:bCs/>
        </w:rPr>
        <w:t xml:space="preserve">Number of prevalent latent tuberculosis infection cases by </w:t>
      </w:r>
      <w:r w:rsidRPr="00CA1B76">
        <w:rPr>
          <w:rFonts w:ascii="Times New Roman" w:hAnsi="Times New Roman" w:cs="Times New Roman"/>
          <w:b/>
          <w:bCs/>
        </w:rPr>
        <w:t>socio-demographic index (SDI) quintile, 1990-2023.</w:t>
      </w:r>
      <w:r w:rsidRPr="00CA1B76">
        <w:rPr>
          <w:rFonts w:ascii="Times New Roman" w:hAnsi="Times New Roman" w:cs="Times New Roman"/>
        </w:rPr>
        <w:t xml:space="preserve"> Prevalent cases are expressed in millions for (A) high-middle SDI, (B) high SDI, (C) low-middle SDI, (D) low SDI, and (E) middle SDI groups. Points and shaded bands denote GBD 2023 estimates with 95% uncer</w:t>
      </w:r>
      <w:r w:rsidRPr="00CA1B76">
        <w:rPr>
          <w:rFonts w:ascii="Times New Roman" w:hAnsi="Times New Roman" w:cs="Times New Roman"/>
        </w:rPr>
        <w:t>tainty intervals; fitted lines denote joinpoint regression estimates, with segment labels indicating APC and 95% confidence intervals.</w:t>
      </w:r>
      <w:r w:rsidR="006413D0">
        <w:rPr>
          <w:rFonts w:ascii="Times New Roman" w:hAnsi="Times New Roman" w:cs="Times New Roman" w:hint="eastAsia"/>
        </w:rPr>
        <w:t xml:space="preserve"> </w:t>
      </w:r>
      <w:r w:rsidR="006413D0" w:rsidRPr="006413D0">
        <w:rPr>
          <w:rFonts w:ascii="Times New Roman" w:hAnsi="Times New Roman" w:cs="Times New Roman"/>
        </w:rPr>
        <w:t>*P&lt;0.05, ***P&lt;0.001.</w:t>
      </w:r>
    </w:p>
    <w:p w14:paraId="0635057A" w14:textId="77777777" w:rsidR="00B940BA" w:rsidRPr="00CA1B76" w:rsidRDefault="002C2741" w:rsidP="006413D0">
      <w:pPr>
        <w:pStyle w:val="CaptionedFigure"/>
        <w:jc w:val="both"/>
        <w:rPr>
          <w:rFonts w:ascii="Times New Roman" w:hAnsi="Times New Roman" w:cs="Times New Roman"/>
        </w:rPr>
      </w:pPr>
      <w:r w:rsidRPr="00CA1B76">
        <w:rPr>
          <w:rFonts w:ascii="Times New Roman" w:hAnsi="Times New Roman" w:cs="Times New Roman"/>
          <w:noProof/>
        </w:rPr>
        <w:lastRenderedPageBreak/>
        <w:drawing>
          <wp:inline distT="0" distB="0" distL="0" distR="0" wp14:anchorId="10879D0D" wp14:editId="3DA0BA5D">
            <wp:extent cx="5334000" cy="4572000"/>
            <wp:effectExtent l="0" t="0" r="0" b="0"/>
            <wp:docPr id="22" name="Picture" descr="Supplementary Figure S5. Age-standardized LTBI prevalence rates by WHO region, 1990-2023"/>
            <wp:cNvGraphicFramePr/>
            <a:graphic xmlns:a="http://schemas.openxmlformats.org/drawingml/2006/main">
              <a:graphicData uri="http://schemas.openxmlformats.org/drawingml/2006/picture">
                <pic:pic xmlns:pic="http://schemas.openxmlformats.org/drawingml/2006/picture">
                  <pic:nvPicPr>
                    <pic:cNvPr id="23" name="Picture" descr="latent_TB/outcome/appendix/fig_s_region_rate_prevalence.png"/>
                    <pic:cNvPicPr>
                      <a:picLocks noChangeAspect="1" noChangeArrowheads="1"/>
                    </pic:cNvPicPr>
                  </pic:nvPicPr>
                  <pic:blipFill>
                    <a:blip r:embed="rId12"/>
                    <a:stretch>
                      <a:fillRect/>
                    </a:stretch>
                  </pic:blipFill>
                  <pic:spPr bwMode="auto">
                    <a:xfrm>
                      <a:off x="0" y="0"/>
                      <a:ext cx="5334000" cy="4572000"/>
                    </a:xfrm>
                    <a:prstGeom prst="rect">
                      <a:avLst/>
                    </a:prstGeom>
                    <a:noFill/>
                    <a:ln w="9525">
                      <a:noFill/>
                      <a:headEnd/>
                      <a:tailEnd/>
                    </a:ln>
                  </pic:spPr>
                </pic:pic>
              </a:graphicData>
            </a:graphic>
          </wp:inline>
        </w:drawing>
      </w:r>
    </w:p>
    <w:p w14:paraId="4F4B10E8" w14:textId="5FF9A085" w:rsidR="00B940BA" w:rsidRPr="00CA1B76" w:rsidRDefault="002C2741" w:rsidP="006413D0">
      <w:pPr>
        <w:pStyle w:val="a0"/>
        <w:jc w:val="both"/>
        <w:rPr>
          <w:rFonts w:ascii="Times New Roman" w:hAnsi="Times New Roman" w:cs="Times New Roman"/>
        </w:rPr>
      </w:pPr>
      <w:r w:rsidRPr="00CA1B76">
        <w:rPr>
          <w:rFonts w:ascii="Times New Roman" w:hAnsi="Times New Roman" w:cs="Times New Roman"/>
          <w:b/>
          <w:bCs/>
        </w:rPr>
        <w:t>Supplementary</w:t>
      </w:r>
      <w:r w:rsidRPr="00CA1B76">
        <w:rPr>
          <w:rFonts w:ascii="Times New Roman" w:hAnsi="Times New Roman" w:cs="Times New Roman"/>
          <w:b/>
          <w:bCs/>
        </w:rPr>
        <w:t xml:space="preserve"> Fig</w:t>
      </w:r>
      <w:r>
        <w:rPr>
          <w:rFonts w:ascii="Times New Roman" w:hAnsi="Times New Roman" w:cs="Times New Roman" w:hint="eastAsia"/>
          <w:b/>
          <w:bCs/>
        </w:rPr>
        <w:t>.</w:t>
      </w:r>
      <w:r>
        <w:rPr>
          <w:rFonts w:ascii="Times New Roman" w:hAnsi="Times New Roman" w:cs="Times New Roman"/>
          <w:b/>
          <w:bCs/>
        </w:rPr>
        <w:t xml:space="preserve"> </w:t>
      </w:r>
      <w:r>
        <w:rPr>
          <w:rFonts w:ascii="Times New Roman" w:hAnsi="Times New Roman" w:cs="Times New Roman"/>
          <w:b/>
          <w:bCs/>
        </w:rPr>
        <w:t>6</w:t>
      </w:r>
      <w:r>
        <w:rPr>
          <w:rFonts w:ascii="Times New Roman" w:hAnsi="Times New Roman" w:cs="Times New Roman"/>
          <w:b/>
          <w:bCs/>
        </w:rPr>
        <w:t>.</w:t>
      </w:r>
      <w:r w:rsidRPr="00CA1B76">
        <w:rPr>
          <w:rFonts w:ascii="Times New Roman" w:hAnsi="Times New Roman" w:cs="Times New Roman"/>
          <w:b/>
          <w:bCs/>
        </w:rPr>
        <w:t xml:space="preserve"> </w:t>
      </w:r>
      <w:r w:rsidRPr="00CA1B76">
        <w:rPr>
          <w:rFonts w:ascii="Times New Roman" w:hAnsi="Times New Roman" w:cs="Times New Roman"/>
          <w:b/>
          <w:bCs/>
        </w:rPr>
        <w:t>Age-standardized latent tuberculosis infection prevalence rates by WHO re</w:t>
      </w:r>
      <w:r w:rsidRPr="00CA1B76">
        <w:rPr>
          <w:rFonts w:ascii="Times New Roman" w:hAnsi="Times New Roman" w:cs="Times New Roman"/>
          <w:b/>
          <w:bCs/>
        </w:rPr>
        <w:t>gion, 1990-2023.</w:t>
      </w:r>
      <w:r w:rsidRPr="00CA1B76">
        <w:rPr>
          <w:rFonts w:ascii="Times New Roman" w:hAnsi="Times New Roman" w:cs="Times New Roman"/>
        </w:rPr>
        <w:t xml:space="preserve"> Rates are expressed per 100,000 population for (A) African Region, (B) Eastern Mediterranean Region, (C) European Region, (D) South-East Asia Region, and (E) Western Pacific Region. Points and shaded bands denote GBD 2023 estimates with 95</w:t>
      </w:r>
      <w:r w:rsidRPr="00CA1B76">
        <w:rPr>
          <w:rFonts w:ascii="Times New Roman" w:hAnsi="Times New Roman" w:cs="Times New Roman"/>
        </w:rPr>
        <w:t>% uncertainty intervals; fitted lines denote joinpoint regression estimates, with segment labels indicating APC and 95% confidence intervals.</w:t>
      </w:r>
      <w:r w:rsidR="006413D0">
        <w:rPr>
          <w:rFonts w:ascii="Times New Roman" w:hAnsi="Times New Roman" w:cs="Times New Roman" w:hint="eastAsia"/>
        </w:rPr>
        <w:t xml:space="preserve"> </w:t>
      </w:r>
      <w:r w:rsidR="006413D0" w:rsidRPr="006413D0">
        <w:rPr>
          <w:rFonts w:ascii="Times New Roman" w:hAnsi="Times New Roman" w:cs="Times New Roman"/>
        </w:rPr>
        <w:t>**P&lt;0.01, ***P&lt;0.001.</w:t>
      </w:r>
    </w:p>
    <w:p w14:paraId="0DD4867A" w14:textId="77777777" w:rsidR="00B940BA" w:rsidRPr="00CA1B76" w:rsidRDefault="002C2741" w:rsidP="006413D0">
      <w:pPr>
        <w:pStyle w:val="CaptionedFigure"/>
        <w:jc w:val="both"/>
        <w:rPr>
          <w:rFonts w:ascii="Times New Roman" w:hAnsi="Times New Roman" w:cs="Times New Roman"/>
        </w:rPr>
      </w:pPr>
      <w:r w:rsidRPr="00CA1B76">
        <w:rPr>
          <w:rFonts w:ascii="Times New Roman" w:hAnsi="Times New Roman" w:cs="Times New Roman"/>
          <w:noProof/>
        </w:rPr>
        <w:lastRenderedPageBreak/>
        <w:drawing>
          <wp:inline distT="0" distB="0" distL="0" distR="0" wp14:anchorId="5A1A55EE" wp14:editId="3F5F64A0">
            <wp:extent cx="5334000" cy="4572000"/>
            <wp:effectExtent l="0" t="0" r="0" b="0"/>
            <wp:docPr id="25" name="Picture" descr="Supplementary Figure S6. LTBI prevalent cases by WHO region, 1990-2023"/>
            <wp:cNvGraphicFramePr/>
            <a:graphic xmlns:a="http://schemas.openxmlformats.org/drawingml/2006/main">
              <a:graphicData uri="http://schemas.openxmlformats.org/drawingml/2006/picture">
                <pic:pic xmlns:pic="http://schemas.openxmlformats.org/drawingml/2006/picture">
                  <pic:nvPicPr>
                    <pic:cNvPr id="26" name="Picture" descr="latent_TB/outcome/appendix/fig_s_region_number_prevalence.png"/>
                    <pic:cNvPicPr>
                      <a:picLocks noChangeAspect="1" noChangeArrowheads="1"/>
                    </pic:cNvPicPr>
                  </pic:nvPicPr>
                  <pic:blipFill>
                    <a:blip r:embed="rId13"/>
                    <a:stretch>
                      <a:fillRect/>
                    </a:stretch>
                  </pic:blipFill>
                  <pic:spPr bwMode="auto">
                    <a:xfrm>
                      <a:off x="0" y="0"/>
                      <a:ext cx="5334000" cy="4572000"/>
                    </a:xfrm>
                    <a:prstGeom prst="rect">
                      <a:avLst/>
                    </a:prstGeom>
                    <a:noFill/>
                    <a:ln w="9525">
                      <a:noFill/>
                      <a:headEnd/>
                      <a:tailEnd/>
                    </a:ln>
                  </pic:spPr>
                </pic:pic>
              </a:graphicData>
            </a:graphic>
          </wp:inline>
        </w:drawing>
      </w:r>
    </w:p>
    <w:p w14:paraId="4A7154AE" w14:textId="5604DDEF" w:rsidR="00B940BA" w:rsidRPr="00CA1B76" w:rsidRDefault="002C2741" w:rsidP="006413D0">
      <w:pPr>
        <w:pStyle w:val="a0"/>
        <w:jc w:val="both"/>
        <w:rPr>
          <w:rFonts w:ascii="Times New Roman" w:hAnsi="Times New Roman" w:cs="Times New Roman"/>
        </w:rPr>
      </w:pPr>
      <w:r w:rsidRPr="00CA1B76">
        <w:rPr>
          <w:rFonts w:ascii="Times New Roman" w:hAnsi="Times New Roman" w:cs="Times New Roman"/>
          <w:b/>
          <w:bCs/>
        </w:rPr>
        <w:t>Supplementary</w:t>
      </w:r>
      <w:r w:rsidRPr="00CA1B76">
        <w:rPr>
          <w:rFonts w:ascii="Times New Roman" w:hAnsi="Times New Roman" w:cs="Times New Roman"/>
          <w:b/>
          <w:bCs/>
        </w:rPr>
        <w:t xml:space="preserve"> Fig</w:t>
      </w:r>
      <w:r>
        <w:rPr>
          <w:rFonts w:ascii="Times New Roman" w:hAnsi="Times New Roman" w:cs="Times New Roman" w:hint="eastAsia"/>
          <w:b/>
          <w:bCs/>
        </w:rPr>
        <w:t>.</w:t>
      </w:r>
      <w:r>
        <w:rPr>
          <w:rFonts w:ascii="Times New Roman" w:hAnsi="Times New Roman" w:cs="Times New Roman"/>
          <w:b/>
          <w:bCs/>
        </w:rPr>
        <w:t xml:space="preserve"> </w:t>
      </w:r>
      <w:r>
        <w:rPr>
          <w:rFonts w:ascii="Times New Roman" w:hAnsi="Times New Roman" w:cs="Times New Roman"/>
          <w:b/>
          <w:bCs/>
        </w:rPr>
        <w:t>7</w:t>
      </w:r>
      <w:r>
        <w:rPr>
          <w:rFonts w:ascii="Times New Roman" w:hAnsi="Times New Roman" w:cs="Times New Roman"/>
          <w:b/>
          <w:bCs/>
        </w:rPr>
        <w:t>.</w:t>
      </w:r>
      <w:r w:rsidRPr="00CA1B76">
        <w:rPr>
          <w:rFonts w:ascii="Times New Roman" w:hAnsi="Times New Roman" w:cs="Times New Roman"/>
          <w:b/>
          <w:bCs/>
        </w:rPr>
        <w:t xml:space="preserve"> </w:t>
      </w:r>
      <w:r w:rsidRPr="00CA1B76">
        <w:rPr>
          <w:rFonts w:ascii="Times New Roman" w:hAnsi="Times New Roman" w:cs="Times New Roman"/>
          <w:b/>
          <w:bCs/>
        </w:rPr>
        <w:t>Number of prevalent latent tuberculosis infection cases by WHO re</w:t>
      </w:r>
      <w:r w:rsidRPr="00CA1B76">
        <w:rPr>
          <w:rFonts w:ascii="Times New Roman" w:hAnsi="Times New Roman" w:cs="Times New Roman"/>
          <w:b/>
          <w:bCs/>
        </w:rPr>
        <w:t>gion, 1990-2023.</w:t>
      </w:r>
      <w:r w:rsidRPr="00CA1B76">
        <w:rPr>
          <w:rFonts w:ascii="Times New Roman" w:hAnsi="Times New Roman" w:cs="Times New Roman"/>
        </w:rPr>
        <w:t xml:space="preserve"> Prevalent cases are expressed in millions for (A) African Region, (B) Eastern Mediterranean Region, (C) European Region, (D) South-East Asia Region, and (E) Western Pacific Region. Points and shaded bands denote GBD 2023 estimates with 95%</w:t>
      </w:r>
      <w:r w:rsidRPr="00CA1B76">
        <w:rPr>
          <w:rFonts w:ascii="Times New Roman" w:hAnsi="Times New Roman" w:cs="Times New Roman"/>
        </w:rPr>
        <w:t xml:space="preserve"> uncertainty intervals; fitted lines denote joinpoint regression estimates, with segment labels indicating APC and 95% confidence intervals.</w:t>
      </w:r>
      <w:r w:rsidR="006413D0">
        <w:rPr>
          <w:rFonts w:ascii="Times New Roman" w:hAnsi="Times New Roman" w:cs="Times New Roman" w:hint="eastAsia"/>
        </w:rPr>
        <w:t xml:space="preserve"> </w:t>
      </w:r>
      <w:r w:rsidR="006413D0" w:rsidRPr="006413D0">
        <w:rPr>
          <w:rFonts w:ascii="Times New Roman" w:hAnsi="Times New Roman" w:cs="Times New Roman"/>
        </w:rPr>
        <w:t>**P&lt;0.01, ***P&lt;0.001.</w:t>
      </w:r>
    </w:p>
    <w:p w14:paraId="4A7DEB79" w14:textId="77777777" w:rsidR="00B940BA" w:rsidRPr="00CA1B76" w:rsidRDefault="002C2741" w:rsidP="006413D0">
      <w:pPr>
        <w:pStyle w:val="2"/>
        <w:jc w:val="both"/>
        <w:rPr>
          <w:rFonts w:ascii="Times New Roman" w:hAnsi="Times New Roman" w:cs="Times New Roman"/>
        </w:rPr>
      </w:pPr>
      <w:bookmarkStart w:id="0" w:name="supplementary-tables"/>
      <w:r w:rsidRPr="00CA1B76">
        <w:rPr>
          <w:rFonts w:ascii="Times New Roman" w:hAnsi="Times New Roman" w:cs="Times New Roman"/>
        </w:rPr>
        <w:t>Supplementary Tables</w:t>
      </w:r>
    </w:p>
    <w:p w14:paraId="50BDA353" w14:textId="13C2F9A9" w:rsidR="00CA1B76" w:rsidRPr="00CA1B76" w:rsidRDefault="00CA1B76" w:rsidP="006413D0">
      <w:pPr>
        <w:spacing w:before="180" w:after="180"/>
        <w:jc w:val="both"/>
        <w:rPr>
          <w:rFonts w:ascii="Times New Roman" w:eastAsia="等线" w:hAnsi="Times New Roman" w:cs="Times New Roman"/>
        </w:rPr>
      </w:pPr>
      <w:r w:rsidRPr="00CA1B76">
        <w:rPr>
          <w:rFonts w:ascii="Times New Roman" w:eastAsia="等线" w:hAnsi="Times New Roman" w:cs="Times New Roman"/>
          <w:b/>
          <w:bCs/>
        </w:rPr>
        <w:t>Supplementary Table 1. Convergence diagnostics for Bayesian APC forecast models.</w:t>
      </w:r>
    </w:p>
    <w:tbl>
      <w:tblPr>
        <w:tblStyle w:val="Table2"/>
        <w:tblW w:w="0" w:type="auto"/>
        <w:tblInd w:w="0" w:type="dxa"/>
        <w:tblLook w:val="0020" w:firstRow="1" w:lastRow="0" w:firstColumn="0" w:lastColumn="0" w:noHBand="0" w:noVBand="0"/>
      </w:tblPr>
      <w:tblGrid>
        <w:gridCol w:w="1699"/>
        <w:gridCol w:w="3682"/>
        <w:gridCol w:w="966"/>
      </w:tblGrid>
      <w:tr w:rsidR="00CA1B76" w:rsidRPr="00CA1B76" w14:paraId="1B3B3090" w14:textId="77777777" w:rsidTr="00CA1B76">
        <w:trPr>
          <w:cnfStyle w:val="100000000000" w:firstRow="1" w:lastRow="0" w:firstColumn="0" w:lastColumn="0" w:oddVBand="0" w:evenVBand="0" w:oddHBand="0" w:evenHBand="0" w:firstRowFirstColumn="0" w:firstRowLastColumn="0" w:lastRowFirstColumn="0" w:lastRowLastColumn="0"/>
          <w:tblHeader/>
        </w:trPr>
        <w:tc>
          <w:tcPr>
            <w:tcW w:w="0" w:type="auto"/>
            <w:tcBorders>
              <w:top w:val="single" w:sz="4" w:space="0" w:color="auto"/>
              <w:left w:val="nil"/>
              <w:right w:val="nil"/>
            </w:tcBorders>
            <w:hideMark/>
          </w:tcPr>
          <w:p w14:paraId="162F80FF"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model</w:t>
            </w:r>
          </w:p>
        </w:tc>
        <w:tc>
          <w:tcPr>
            <w:tcW w:w="0" w:type="auto"/>
            <w:tcBorders>
              <w:top w:val="single" w:sz="4" w:space="0" w:color="auto"/>
              <w:left w:val="nil"/>
              <w:right w:val="nil"/>
            </w:tcBorders>
            <w:hideMark/>
          </w:tcPr>
          <w:p w14:paraId="377461F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diagnostic</w:t>
            </w:r>
          </w:p>
        </w:tc>
        <w:tc>
          <w:tcPr>
            <w:tcW w:w="0" w:type="auto"/>
            <w:tcBorders>
              <w:top w:val="single" w:sz="4" w:space="0" w:color="auto"/>
              <w:left w:val="nil"/>
              <w:right w:val="nil"/>
            </w:tcBorders>
            <w:hideMark/>
          </w:tcPr>
          <w:p w14:paraId="06DE5A4F"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value</w:t>
            </w:r>
          </w:p>
        </w:tc>
      </w:tr>
      <w:tr w:rsidR="00CA1B76" w:rsidRPr="00CA1B76" w14:paraId="01A42452" w14:textId="77777777">
        <w:tc>
          <w:tcPr>
            <w:tcW w:w="0" w:type="auto"/>
            <w:hideMark/>
          </w:tcPr>
          <w:p w14:paraId="48C2D011"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Poisson</w:t>
            </w:r>
          </w:p>
        </w:tc>
        <w:tc>
          <w:tcPr>
            <w:tcW w:w="0" w:type="auto"/>
            <w:hideMark/>
          </w:tcPr>
          <w:p w14:paraId="74B4E826"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Maximum R-hat</w:t>
            </w:r>
          </w:p>
        </w:tc>
        <w:tc>
          <w:tcPr>
            <w:tcW w:w="0" w:type="auto"/>
            <w:hideMark/>
          </w:tcPr>
          <w:p w14:paraId="5B3B010D"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11.912</w:t>
            </w:r>
          </w:p>
        </w:tc>
      </w:tr>
      <w:tr w:rsidR="00CA1B76" w:rsidRPr="00CA1B76" w14:paraId="2FD1859E" w14:textId="77777777">
        <w:tc>
          <w:tcPr>
            <w:tcW w:w="0" w:type="auto"/>
            <w:hideMark/>
          </w:tcPr>
          <w:p w14:paraId="1112140A"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Poisson</w:t>
            </w:r>
          </w:p>
        </w:tc>
        <w:tc>
          <w:tcPr>
            <w:tcW w:w="0" w:type="auto"/>
            <w:hideMark/>
          </w:tcPr>
          <w:p w14:paraId="7D978A96"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Minimum effective sample size</w:t>
            </w:r>
          </w:p>
        </w:tc>
        <w:tc>
          <w:tcPr>
            <w:tcW w:w="0" w:type="auto"/>
            <w:hideMark/>
          </w:tcPr>
          <w:p w14:paraId="39ACA8B9"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2.031</w:t>
            </w:r>
          </w:p>
        </w:tc>
      </w:tr>
      <w:tr w:rsidR="00CA1B76" w:rsidRPr="00CA1B76" w14:paraId="1FA51BF7" w14:textId="77777777">
        <w:tc>
          <w:tcPr>
            <w:tcW w:w="0" w:type="auto"/>
            <w:hideMark/>
          </w:tcPr>
          <w:p w14:paraId="13FFD205"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Poisson</w:t>
            </w:r>
          </w:p>
        </w:tc>
        <w:tc>
          <w:tcPr>
            <w:tcW w:w="0" w:type="auto"/>
            <w:hideMark/>
          </w:tcPr>
          <w:p w14:paraId="5828D891"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Divergent transitions</w:t>
            </w:r>
          </w:p>
        </w:tc>
        <w:tc>
          <w:tcPr>
            <w:tcW w:w="0" w:type="auto"/>
            <w:hideMark/>
          </w:tcPr>
          <w:p w14:paraId="320908D8"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278.000</w:t>
            </w:r>
          </w:p>
        </w:tc>
      </w:tr>
      <w:tr w:rsidR="00CA1B76" w:rsidRPr="00CA1B76" w14:paraId="7F12ACCA" w14:textId="77777777">
        <w:tc>
          <w:tcPr>
            <w:tcW w:w="0" w:type="auto"/>
            <w:hideMark/>
          </w:tcPr>
          <w:p w14:paraId="1C2E8FE0"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Poisson</w:t>
            </w:r>
          </w:p>
        </w:tc>
        <w:tc>
          <w:tcPr>
            <w:tcW w:w="0" w:type="auto"/>
            <w:hideMark/>
          </w:tcPr>
          <w:p w14:paraId="4152403E"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Maximum treedepth observed</w:t>
            </w:r>
          </w:p>
        </w:tc>
        <w:tc>
          <w:tcPr>
            <w:tcW w:w="0" w:type="auto"/>
            <w:hideMark/>
          </w:tcPr>
          <w:p w14:paraId="0B776963"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12.000</w:t>
            </w:r>
          </w:p>
        </w:tc>
      </w:tr>
      <w:tr w:rsidR="00CA1B76" w:rsidRPr="00CA1B76" w14:paraId="6F91ADD5" w14:textId="77777777">
        <w:tc>
          <w:tcPr>
            <w:tcW w:w="0" w:type="auto"/>
            <w:hideMark/>
          </w:tcPr>
          <w:p w14:paraId="0A7BB99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Poisson</w:t>
            </w:r>
          </w:p>
        </w:tc>
        <w:tc>
          <w:tcPr>
            <w:tcW w:w="0" w:type="auto"/>
            <w:hideMark/>
          </w:tcPr>
          <w:p w14:paraId="478AD700"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Configured maximum-treedepth transitions</w:t>
            </w:r>
          </w:p>
        </w:tc>
        <w:tc>
          <w:tcPr>
            <w:tcW w:w="0" w:type="auto"/>
            <w:hideMark/>
          </w:tcPr>
          <w:p w14:paraId="34670759"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5178.000</w:t>
            </w:r>
          </w:p>
        </w:tc>
      </w:tr>
      <w:tr w:rsidR="00CA1B76" w:rsidRPr="00CA1B76" w14:paraId="584711F0" w14:textId="77777777">
        <w:tc>
          <w:tcPr>
            <w:tcW w:w="0" w:type="auto"/>
            <w:hideMark/>
          </w:tcPr>
          <w:p w14:paraId="42C6AFAD"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Negative binomial</w:t>
            </w:r>
          </w:p>
        </w:tc>
        <w:tc>
          <w:tcPr>
            <w:tcW w:w="0" w:type="auto"/>
            <w:hideMark/>
          </w:tcPr>
          <w:p w14:paraId="5B4E5DE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Maximum R-hat</w:t>
            </w:r>
          </w:p>
        </w:tc>
        <w:tc>
          <w:tcPr>
            <w:tcW w:w="0" w:type="auto"/>
            <w:hideMark/>
          </w:tcPr>
          <w:p w14:paraId="68747F5D"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1.001</w:t>
            </w:r>
          </w:p>
        </w:tc>
      </w:tr>
      <w:tr w:rsidR="00CA1B76" w:rsidRPr="00CA1B76" w14:paraId="0452D316" w14:textId="77777777">
        <w:tc>
          <w:tcPr>
            <w:tcW w:w="0" w:type="auto"/>
            <w:hideMark/>
          </w:tcPr>
          <w:p w14:paraId="39880765"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Negative binomial</w:t>
            </w:r>
          </w:p>
        </w:tc>
        <w:tc>
          <w:tcPr>
            <w:tcW w:w="0" w:type="auto"/>
            <w:hideMark/>
          </w:tcPr>
          <w:p w14:paraId="3290740D"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Minimum effective sample size</w:t>
            </w:r>
          </w:p>
        </w:tc>
        <w:tc>
          <w:tcPr>
            <w:tcW w:w="0" w:type="auto"/>
            <w:hideMark/>
          </w:tcPr>
          <w:p w14:paraId="6AC0DFB3"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1623.338</w:t>
            </w:r>
          </w:p>
        </w:tc>
      </w:tr>
      <w:tr w:rsidR="00CA1B76" w:rsidRPr="00CA1B76" w14:paraId="52A67C3D" w14:textId="77777777">
        <w:tc>
          <w:tcPr>
            <w:tcW w:w="0" w:type="auto"/>
            <w:hideMark/>
          </w:tcPr>
          <w:p w14:paraId="7878AC89"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lastRenderedPageBreak/>
              <w:t>Negative binomial</w:t>
            </w:r>
          </w:p>
        </w:tc>
        <w:tc>
          <w:tcPr>
            <w:tcW w:w="0" w:type="auto"/>
            <w:hideMark/>
          </w:tcPr>
          <w:p w14:paraId="487FF0CA"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Divergent transitions</w:t>
            </w:r>
          </w:p>
        </w:tc>
        <w:tc>
          <w:tcPr>
            <w:tcW w:w="0" w:type="auto"/>
            <w:hideMark/>
          </w:tcPr>
          <w:p w14:paraId="6F455A4F"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0.000</w:t>
            </w:r>
          </w:p>
        </w:tc>
      </w:tr>
      <w:tr w:rsidR="00CA1B76" w:rsidRPr="00CA1B76" w14:paraId="7A297754" w14:textId="77777777">
        <w:tc>
          <w:tcPr>
            <w:tcW w:w="0" w:type="auto"/>
            <w:hideMark/>
          </w:tcPr>
          <w:p w14:paraId="57F90D98"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Negative binomial</w:t>
            </w:r>
          </w:p>
        </w:tc>
        <w:tc>
          <w:tcPr>
            <w:tcW w:w="0" w:type="auto"/>
            <w:hideMark/>
          </w:tcPr>
          <w:p w14:paraId="088B6D78"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Maximum treedepth observed</w:t>
            </w:r>
          </w:p>
        </w:tc>
        <w:tc>
          <w:tcPr>
            <w:tcW w:w="0" w:type="auto"/>
            <w:hideMark/>
          </w:tcPr>
          <w:p w14:paraId="67F341A0"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12.000</w:t>
            </w:r>
          </w:p>
        </w:tc>
      </w:tr>
      <w:tr w:rsidR="00CA1B76" w:rsidRPr="00CA1B76" w14:paraId="6CAAD59A" w14:textId="77777777" w:rsidTr="00CA1B76">
        <w:tc>
          <w:tcPr>
            <w:tcW w:w="0" w:type="auto"/>
            <w:tcBorders>
              <w:bottom w:val="single" w:sz="4" w:space="0" w:color="auto"/>
            </w:tcBorders>
            <w:hideMark/>
          </w:tcPr>
          <w:p w14:paraId="23D3DA69"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Negative binomial</w:t>
            </w:r>
          </w:p>
        </w:tc>
        <w:tc>
          <w:tcPr>
            <w:tcW w:w="0" w:type="auto"/>
            <w:tcBorders>
              <w:bottom w:val="single" w:sz="4" w:space="0" w:color="auto"/>
            </w:tcBorders>
            <w:hideMark/>
          </w:tcPr>
          <w:p w14:paraId="116EC298"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Configured maximum-treedepth transitions</w:t>
            </w:r>
          </w:p>
        </w:tc>
        <w:tc>
          <w:tcPr>
            <w:tcW w:w="0" w:type="auto"/>
            <w:tcBorders>
              <w:bottom w:val="single" w:sz="4" w:space="0" w:color="auto"/>
            </w:tcBorders>
            <w:hideMark/>
          </w:tcPr>
          <w:p w14:paraId="612BE987"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0.000</w:t>
            </w:r>
          </w:p>
        </w:tc>
      </w:tr>
    </w:tbl>
    <w:p w14:paraId="70D174EC" w14:textId="39F08816" w:rsidR="00CA1B76" w:rsidRPr="00CA1B76" w:rsidRDefault="00CA1B76" w:rsidP="006413D0">
      <w:pPr>
        <w:spacing w:before="180" w:after="180"/>
        <w:jc w:val="both"/>
        <w:rPr>
          <w:rFonts w:ascii="Times New Roman" w:eastAsia="等线" w:hAnsi="Times New Roman" w:cs="Times New Roman"/>
        </w:rPr>
      </w:pPr>
      <w:r w:rsidRPr="00CA1B76">
        <w:rPr>
          <w:rFonts w:ascii="Times New Roman" w:eastAsia="等线" w:hAnsi="Times New Roman" w:cs="Times New Roman"/>
          <w:b/>
          <w:bCs/>
        </w:rPr>
        <w:t>Supplementary Table 2. PSIS-LOO comparison of Poisson and negative-binomial likelihoods in Bayesian APC forecast models.</w:t>
      </w:r>
    </w:p>
    <w:tbl>
      <w:tblPr>
        <w:tblStyle w:val="Table2"/>
        <w:tblW w:w="0" w:type="auto"/>
        <w:tblInd w:w="0" w:type="dxa"/>
        <w:tblLook w:val="0020" w:firstRow="1" w:lastRow="0" w:firstColumn="0" w:lastColumn="0" w:noHBand="0" w:noVBand="0"/>
      </w:tblPr>
      <w:tblGrid>
        <w:gridCol w:w="2560"/>
        <w:gridCol w:w="1361"/>
        <w:gridCol w:w="1366"/>
        <w:gridCol w:w="1266"/>
      </w:tblGrid>
      <w:tr w:rsidR="00CA1B76" w:rsidRPr="00CA1B76" w14:paraId="113AD8BF" w14:textId="77777777" w:rsidTr="00CA1B76">
        <w:trPr>
          <w:cnfStyle w:val="100000000000" w:firstRow="1" w:lastRow="0" w:firstColumn="0" w:lastColumn="0" w:oddVBand="0" w:evenVBand="0" w:oddHBand="0" w:evenHBand="0" w:firstRowFirstColumn="0" w:firstRowLastColumn="0" w:lastRowFirstColumn="0" w:lastRowLastColumn="0"/>
          <w:tblHeader/>
        </w:trPr>
        <w:tc>
          <w:tcPr>
            <w:tcW w:w="0" w:type="auto"/>
            <w:tcBorders>
              <w:top w:val="single" w:sz="4" w:space="0" w:color="auto"/>
              <w:left w:val="nil"/>
              <w:right w:val="nil"/>
            </w:tcBorders>
            <w:hideMark/>
          </w:tcPr>
          <w:p w14:paraId="2E7F64DE"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model</w:t>
            </w:r>
          </w:p>
        </w:tc>
        <w:tc>
          <w:tcPr>
            <w:tcW w:w="0" w:type="auto"/>
            <w:tcBorders>
              <w:top w:val="single" w:sz="4" w:space="0" w:color="auto"/>
              <w:left w:val="nil"/>
              <w:right w:val="nil"/>
            </w:tcBorders>
            <w:hideMark/>
          </w:tcPr>
          <w:p w14:paraId="684D581C"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estimate</w:t>
            </w:r>
          </w:p>
        </w:tc>
        <w:tc>
          <w:tcPr>
            <w:tcW w:w="0" w:type="auto"/>
            <w:tcBorders>
              <w:top w:val="single" w:sz="4" w:space="0" w:color="auto"/>
              <w:left w:val="nil"/>
              <w:right w:val="nil"/>
            </w:tcBorders>
            <w:hideMark/>
          </w:tcPr>
          <w:p w14:paraId="7A3A249A"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Estimate</w:t>
            </w:r>
          </w:p>
        </w:tc>
        <w:tc>
          <w:tcPr>
            <w:tcW w:w="0" w:type="auto"/>
            <w:tcBorders>
              <w:top w:val="single" w:sz="4" w:space="0" w:color="auto"/>
              <w:left w:val="nil"/>
              <w:right w:val="nil"/>
            </w:tcBorders>
            <w:hideMark/>
          </w:tcPr>
          <w:p w14:paraId="239B208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SE</w:t>
            </w:r>
          </w:p>
        </w:tc>
      </w:tr>
      <w:tr w:rsidR="00CA1B76" w:rsidRPr="00CA1B76" w14:paraId="1878871C" w14:textId="77777777">
        <w:tc>
          <w:tcPr>
            <w:tcW w:w="0" w:type="auto"/>
            <w:hideMark/>
          </w:tcPr>
          <w:p w14:paraId="1999CFBC"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Poisson likelihood</w:t>
            </w:r>
          </w:p>
        </w:tc>
        <w:tc>
          <w:tcPr>
            <w:tcW w:w="0" w:type="auto"/>
            <w:hideMark/>
          </w:tcPr>
          <w:p w14:paraId="3CC3298D"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elpd_loo</w:t>
            </w:r>
          </w:p>
        </w:tc>
        <w:tc>
          <w:tcPr>
            <w:tcW w:w="0" w:type="auto"/>
            <w:hideMark/>
          </w:tcPr>
          <w:p w14:paraId="261DE04A"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-6372290.054</w:t>
            </w:r>
          </w:p>
        </w:tc>
        <w:tc>
          <w:tcPr>
            <w:tcW w:w="0" w:type="auto"/>
            <w:hideMark/>
          </w:tcPr>
          <w:p w14:paraId="63323718"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1156097.703</w:t>
            </w:r>
          </w:p>
        </w:tc>
      </w:tr>
      <w:tr w:rsidR="00CA1B76" w:rsidRPr="00CA1B76" w14:paraId="2BB7857D" w14:textId="77777777">
        <w:tc>
          <w:tcPr>
            <w:tcW w:w="0" w:type="auto"/>
            <w:hideMark/>
          </w:tcPr>
          <w:p w14:paraId="62E40C85"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Poisson likelihood</w:t>
            </w:r>
          </w:p>
        </w:tc>
        <w:tc>
          <w:tcPr>
            <w:tcW w:w="0" w:type="auto"/>
            <w:hideMark/>
          </w:tcPr>
          <w:p w14:paraId="61C131DE"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p_loo</w:t>
            </w:r>
          </w:p>
        </w:tc>
        <w:tc>
          <w:tcPr>
            <w:tcW w:w="0" w:type="auto"/>
            <w:hideMark/>
          </w:tcPr>
          <w:p w14:paraId="4BA2EC89"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6240502.462</w:t>
            </w:r>
          </w:p>
        </w:tc>
        <w:tc>
          <w:tcPr>
            <w:tcW w:w="0" w:type="auto"/>
            <w:hideMark/>
          </w:tcPr>
          <w:p w14:paraId="44592A46"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1137902.065</w:t>
            </w:r>
          </w:p>
        </w:tc>
      </w:tr>
      <w:tr w:rsidR="00CA1B76" w:rsidRPr="00CA1B76" w14:paraId="33548696" w14:textId="77777777">
        <w:tc>
          <w:tcPr>
            <w:tcW w:w="0" w:type="auto"/>
            <w:hideMark/>
          </w:tcPr>
          <w:p w14:paraId="3A88DFE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Poisson likelihood</w:t>
            </w:r>
          </w:p>
        </w:tc>
        <w:tc>
          <w:tcPr>
            <w:tcW w:w="0" w:type="auto"/>
            <w:hideMark/>
          </w:tcPr>
          <w:p w14:paraId="3001A1EA"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looic</w:t>
            </w:r>
          </w:p>
        </w:tc>
        <w:tc>
          <w:tcPr>
            <w:tcW w:w="0" w:type="auto"/>
            <w:hideMark/>
          </w:tcPr>
          <w:p w14:paraId="49AD6C6B"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12744580.108</w:t>
            </w:r>
          </w:p>
        </w:tc>
        <w:tc>
          <w:tcPr>
            <w:tcW w:w="0" w:type="auto"/>
            <w:hideMark/>
          </w:tcPr>
          <w:p w14:paraId="1D25199E"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2312195.405</w:t>
            </w:r>
          </w:p>
        </w:tc>
      </w:tr>
      <w:tr w:rsidR="00CA1B76" w:rsidRPr="00CA1B76" w14:paraId="7871DD83" w14:textId="77777777">
        <w:tc>
          <w:tcPr>
            <w:tcW w:w="0" w:type="auto"/>
            <w:hideMark/>
          </w:tcPr>
          <w:p w14:paraId="4CBBE735"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Negative binomial likelihood</w:t>
            </w:r>
          </w:p>
        </w:tc>
        <w:tc>
          <w:tcPr>
            <w:tcW w:w="0" w:type="auto"/>
            <w:hideMark/>
          </w:tcPr>
          <w:p w14:paraId="5FA1B75D"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elpd_loo</w:t>
            </w:r>
          </w:p>
        </w:tc>
        <w:tc>
          <w:tcPr>
            <w:tcW w:w="0" w:type="auto"/>
            <w:hideMark/>
          </w:tcPr>
          <w:p w14:paraId="5A046631"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-718.822</w:t>
            </w:r>
          </w:p>
        </w:tc>
        <w:tc>
          <w:tcPr>
            <w:tcW w:w="0" w:type="auto"/>
            <w:hideMark/>
          </w:tcPr>
          <w:p w14:paraId="75D145DB"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6.054</w:t>
            </w:r>
          </w:p>
        </w:tc>
      </w:tr>
      <w:tr w:rsidR="00CA1B76" w:rsidRPr="00CA1B76" w14:paraId="62D2F3A7" w14:textId="77777777">
        <w:tc>
          <w:tcPr>
            <w:tcW w:w="0" w:type="auto"/>
            <w:hideMark/>
          </w:tcPr>
          <w:p w14:paraId="434BEDA4"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Negative binomial likelihood</w:t>
            </w:r>
          </w:p>
        </w:tc>
        <w:tc>
          <w:tcPr>
            <w:tcW w:w="0" w:type="auto"/>
            <w:hideMark/>
          </w:tcPr>
          <w:p w14:paraId="52E87A94"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p_loo</w:t>
            </w:r>
          </w:p>
        </w:tc>
        <w:tc>
          <w:tcPr>
            <w:tcW w:w="0" w:type="auto"/>
            <w:hideMark/>
          </w:tcPr>
          <w:p w14:paraId="3BB35CFA"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18.041</w:t>
            </w:r>
          </w:p>
        </w:tc>
        <w:tc>
          <w:tcPr>
            <w:tcW w:w="0" w:type="auto"/>
            <w:hideMark/>
          </w:tcPr>
          <w:p w14:paraId="6B02BB29"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3.292</w:t>
            </w:r>
          </w:p>
        </w:tc>
      </w:tr>
      <w:tr w:rsidR="00CA1B76" w:rsidRPr="00CA1B76" w14:paraId="77D07065" w14:textId="77777777">
        <w:tc>
          <w:tcPr>
            <w:tcW w:w="0" w:type="auto"/>
            <w:hideMark/>
          </w:tcPr>
          <w:p w14:paraId="51DA2CE7"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Negative binomial likelihood</w:t>
            </w:r>
          </w:p>
        </w:tc>
        <w:tc>
          <w:tcPr>
            <w:tcW w:w="0" w:type="auto"/>
            <w:hideMark/>
          </w:tcPr>
          <w:p w14:paraId="39F96E96"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looic</w:t>
            </w:r>
          </w:p>
        </w:tc>
        <w:tc>
          <w:tcPr>
            <w:tcW w:w="0" w:type="auto"/>
            <w:hideMark/>
          </w:tcPr>
          <w:p w14:paraId="31145413"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1437.644</w:t>
            </w:r>
          </w:p>
        </w:tc>
        <w:tc>
          <w:tcPr>
            <w:tcW w:w="0" w:type="auto"/>
            <w:hideMark/>
          </w:tcPr>
          <w:p w14:paraId="73EA1FBC"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12.109</w:t>
            </w:r>
          </w:p>
        </w:tc>
      </w:tr>
      <w:tr w:rsidR="00CA1B76" w:rsidRPr="00CA1B76" w14:paraId="12ED78F5" w14:textId="77777777">
        <w:tc>
          <w:tcPr>
            <w:tcW w:w="0" w:type="auto"/>
            <w:hideMark/>
          </w:tcPr>
          <w:p w14:paraId="1274D1B3"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Poisson likelihood</w:t>
            </w:r>
          </w:p>
        </w:tc>
        <w:tc>
          <w:tcPr>
            <w:tcW w:w="0" w:type="auto"/>
            <w:hideMark/>
          </w:tcPr>
          <w:p w14:paraId="269D6F0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max_pareto_k</w:t>
            </w:r>
          </w:p>
        </w:tc>
        <w:tc>
          <w:tcPr>
            <w:tcW w:w="0" w:type="auto"/>
            <w:hideMark/>
          </w:tcPr>
          <w:p w14:paraId="00B8754D"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Inf</w:t>
            </w:r>
          </w:p>
        </w:tc>
        <w:tc>
          <w:tcPr>
            <w:tcW w:w="0" w:type="auto"/>
          </w:tcPr>
          <w:p w14:paraId="3F78A8B8" w14:textId="77777777" w:rsidR="00CA1B76" w:rsidRPr="00CA1B76" w:rsidRDefault="00CA1B76" w:rsidP="006413D0">
            <w:pPr>
              <w:spacing w:before="36" w:after="36"/>
              <w:jc w:val="both"/>
              <w:rPr>
                <w:rFonts w:ascii="Times New Roman" w:eastAsia="等线" w:hAnsi="Times New Roman"/>
              </w:rPr>
            </w:pPr>
          </w:p>
        </w:tc>
      </w:tr>
      <w:tr w:rsidR="00CA1B76" w:rsidRPr="00CA1B76" w14:paraId="17B91C25" w14:textId="77777777" w:rsidTr="00CA1B76">
        <w:tc>
          <w:tcPr>
            <w:tcW w:w="0" w:type="auto"/>
            <w:tcBorders>
              <w:bottom w:val="single" w:sz="4" w:space="0" w:color="auto"/>
            </w:tcBorders>
            <w:hideMark/>
          </w:tcPr>
          <w:p w14:paraId="3B461357"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Negative binomial likelihood</w:t>
            </w:r>
          </w:p>
        </w:tc>
        <w:tc>
          <w:tcPr>
            <w:tcW w:w="0" w:type="auto"/>
            <w:tcBorders>
              <w:bottom w:val="single" w:sz="4" w:space="0" w:color="auto"/>
            </w:tcBorders>
            <w:hideMark/>
          </w:tcPr>
          <w:p w14:paraId="0A60BD43"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max_pareto_k</w:t>
            </w:r>
          </w:p>
        </w:tc>
        <w:tc>
          <w:tcPr>
            <w:tcW w:w="0" w:type="auto"/>
            <w:tcBorders>
              <w:bottom w:val="single" w:sz="4" w:space="0" w:color="auto"/>
            </w:tcBorders>
            <w:hideMark/>
          </w:tcPr>
          <w:p w14:paraId="3C495FD9"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1.055</w:t>
            </w:r>
          </w:p>
        </w:tc>
        <w:tc>
          <w:tcPr>
            <w:tcW w:w="0" w:type="auto"/>
            <w:tcBorders>
              <w:bottom w:val="single" w:sz="4" w:space="0" w:color="auto"/>
            </w:tcBorders>
          </w:tcPr>
          <w:p w14:paraId="65EEDD9F" w14:textId="77777777" w:rsidR="00CA1B76" w:rsidRPr="00CA1B76" w:rsidRDefault="00CA1B76" w:rsidP="006413D0">
            <w:pPr>
              <w:spacing w:before="36" w:after="36"/>
              <w:jc w:val="both"/>
              <w:rPr>
                <w:rFonts w:ascii="Times New Roman" w:eastAsia="等线" w:hAnsi="Times New Roman"/>
              </w:rPr>
            </w:pPr>
          </w:p>
        </w:tc>
      </w:tr>
    </w:tbl>
    <w:p w14:paraId="337962D3" w14:textId="5BA1769A" w:rsidR="00CA1B76" w:rsidRPr="00CA1B76" w:rsidRDefault="00CA1B76" w:rsidP="006413D0">
      <w:pPr>
        <w:spacing w:before="180" w:after="180"/>
        <w:jc w:val="both"/>
        <w:rPr>
          <w:rFonts w:ascii="Times New Roman" w:eastAsia="等线" w:hAnsi="Times New Roman" w:cs="Times New Roman"/>
        </w:rPr>
      </w:pPr>
      <w:r w:rsidRPr="00CA1B76">
        <w:rPr>
          <w:rFonts w:ascii="Times New Roman" w:eastAsia="等线" w:hAnsi="Times New Roman" w:cs="Times New Roman"/>
          <w:b/>
          <w:bCs/>
        </w:rPr>
        <w:t>Supplementary Table 3. Posterior predictive checks for Poisson and negative-binomial Bayesian APC forecast models.</w:t>
      </w:r>
    </w:p>
    <w:tbl>
      <w:tblPr>
        <w:tblStyle w:val="Table2"/>
        <w:tblW w:w="5000" w:type="pct"/>
        <w:tblInd w:w="0" w:type="dxa"/>
        <w:tblLayout w:type="fixed"/>
        <w:tblLook w:val="0020" w:firstRow="1" w:lastRow="0" w:firstColumn="0" w:lastColumn="0" w:noHBand="0" w:noVBand="0"/>
      </w:tblPr>
      <w:tblGrid>
        <w:gridCol w:w="1266"/>
        <w:gridCol w:w="1265"/>
        <w:gridCol w:w="1265"/>
        <w:gridCol w:w="1265"/>
        <w:gridCol w:w="1265"/>
        <w:gridCol w:w="1265"/>
        <w:gridCol w:w="1265"/>
      </w:tblGrid>
      <w:tr w:rsidR="00CA1B76" w:rsidRPr="00CA1B76" w14:paraId="1C716800" w14:textId="77777777" w:rsidTr="00CA1B76">
        <w:trPr>
          <w:cnfStyle w:val="100000000000" w:firstRow="1" w:lastRow="0" w:firstColumn="0" w:lastColumn="0" w:oddVBand="0" w:evenVBand="0" w:oddHBand="0" w:evenHBand="0" w:firstRowFirstColumn="0" w:firstRowLastColumn="0" w:lastRowFirstColumn="0" w:lastRowLastColumn="0"/>
          <w:tblHeader/>
        </w:trPr>
        <w:tc>
          <w:tcPr>
            <w:tcW w:w="1131" w:type="dxa"/>
            <w:tcBorders>
              <w:top w:val="single" w:sz="4" w:space="0" w:color="auto"/>
              <w:left w:val="nil"/>
              <w:right w:val="nil"/>
            </w:tcBorders>
            <w:hideMark/>
          </w:tcPr>
          <w:p w14:paraId="52D1190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model</w:t>
            </w:r>
          </w:p>
        </w:tc>
        <w:tc>
          <w:tcPr>
            <w:tcW w:w="1131" w:type="dxa"/>
            <w:tcBorders>
              <w:top w:val="single" w:sz="4" w:space="0" w:color="auto"/>
              <w:left w:val="nil"/>
              <w:right w:val="nil"/>
            </w:tcBorders>
            <w:hideMark/>
          </w:tcPr>
          <w:p w14:paraId="3AB9523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check</w:t>
            </w:r>
          </w:p>
        </w:tc>
        <w:tc>
          <w:tcPr>
            <w:tcW w:w="1131" w:type="dxa"/>
            <w:tcBorders>
              <w:top w:val="single" w:sz="4" w:space="0" w:color="auto"/>
              <w:left w:val="nil"/>
              <w:right w:val="nil"/>
            </w:tcBorders>
            <w:hideMark/>
          </w:tcPr>
          <w:p w14:paraId="7293144A"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observed</w:t>
            </w:r>
          </w:p>
        </w:tc>
        <w:tc>
          <w:tcPr>
            <w:tcW w:w="1131" w:type="dxa"/>
            <w:tcBorders>
              <w:top w:val="single" w:sz="4" w:space="0" w:color="auto"/>
              <w:left w:val="nil"/>
              <w:right w:val="nil"/>
            </w:tcBorders>
            <w:hideMark/>
          </w:tcPr>
          <w:p w14:paraId="0F7E49B4"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posterior_predictive_mean</w:t>
            </w:r>
          </w:p>
        </w:tc>
        <w:tc>
          <w:tcPr>
            <w:tcW w:w="1131" w:type="dxa"/>
            <w:tcBorders>
              <w:top w:val="single" w:sz="4" w:space="0" w:color="auto"/>
              <w:left w:val="nil"/>
              <w:right w:val="nil"/>
            </w:tcBorders>
            <w:hideMark/>
          </w:tcPr>
          <w:p w14:paraId="7ADE4ABD"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posterior_predictive_lwr</w:t>
            </w:r>
          </w:p>
        </w:tc>
        <w:tc>
          <w:tcPr>
            <w:tcW w:w="1131" w:type="dxa"/>
            <w:tcBorders>
              <w:top w:val="single" w:sz="4" w:space="0" w:color="auto"/>
              <w:left w:val="nil"/>
              <w:right w:val="nil"/>
            </w:tcBorders>
            <w:hideMark/>
          </w:tcPr>
          <w:p w14:paraId="3CE6386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posterior_predictive_upr</w:t>
            </w:r>
          </w:p>
        </w:tc>
        <w:tc>
          <w:tcPr>
            <w:tcW w:w="1131" w:type="dxa"/>
            <w:tcBorders>
              <w:top w:val="single" w:sz="4" w:space="0" w:color="auto"/>
              <w:left w:val="nil"/>
              <w:right w:val="nil"/>
            </w:tcBorders>
            <w:hideMark/>
          </w:tcPr>
          <w:p w14:paraId="670DEE07"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posterior_predictive_p</w:t>
            </w:r>
          </w:p>
        </w:tc>
      </w:tr>
      <w:tr w:rsidR="00CA1B76" w:rsidRPr="00CA1B76" w14:paraId="3A3D67F6" w14:textId="77777777">
        <w:tc>
          <w:tcPr>
            <w:tcW w:w="1131" w:type="dxa"/>
            <w:hideMark/>
          </w:tcPr>
          <w:p w14:paraId="45AF793A"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Poisson</w:t>
            </w:r>
          </w:p>
        </w:tc>
        <w:tc>
          <w:tcPr>
            <w:tcW w:w="1131" w:type="dxa"/>
            <w:hideMark/>
          </w:tcPr>
          <w:p w14:paraId="77CA8CDE"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Pearson discrepancy</w:t>
            </w:r>
          </w:p>
        </w:tc>
        <w:tc>
          <w:tcPr>
            <w:tcW w:w="1131" w:type="dxa"/>
            <w:hideMark/>
          </w:tcPr>
          <w:p w14:paraId="308B28F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970774.156</w:t>
            </w:r>
          </w:p>
        </w:tc>
        <w:tc>
          <w:tcPr>
            <w:tcW w:w="1131" w:type="dxa"/>
            <w:hideMark/>
          </w:tcPr>
          <w:p w14:paraId="65AE8EF9"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41.539</w:t>
            </w:r>
          </w:p>
        </w:tc>
        <w:tc>
          <w:tcPr>
            <w:tcW w:w="1131" w:type="dxa"/>
            <w:hideMark/>
          </w:tcPr>
          <w:p w14:paraId="74AFD619"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25.709</w:t>
            </w:r>
          </w:p>
        </w:tc>
        <w:tc>
          <w:tcPr>
            <w:tcW w:w="1131" w:type="dxa"/>
            <w:hideMark/>
          </w:tcPr>
          <w:p w14:paraId="18B56FA6"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60.058</w:t>
            </w:r>
          </w:p>
        </w:tc>
        <w:tc>
          <w:tcPr>
            <w:tcW w:w="1131" w:type="dxa"/>
            <w:hideMark/>
          </w:tcPr>
          <w:p w14:paraId="038902CF"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0.000</w:t>
            </w:r>
          </w:p>
        </w:tc>
      </w:tr>
      <w:tr w:rsidR="00CA1B76" w:rsidRPr="00CA1B76" w14:paraId="1CB27E37" w14:textId="77777777">
        <w:tc>
          <w:tcPr>
            <w:tcW w:w="1131" w:type="dxa"/>
            <w:hideMark/>
          </w:tcPr>
          <w:p w14:paraId="60CA1B03"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Poisson</w:t>
            </w:r>
          </w:p>
        </w:tc>
        <w:tc>
          <w:tcPr>
            <w:tcW w:w="1131" w:type="dxa"/>
            <w:hideMark/>
          </w:tcPr>
          <w:p w14:paraId="447B2957"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Maximum absolute standardized residual</w:t>
            </w:r>
          </w:p>
        </w:tc>
        <w:tc>
          <w:tcPr>
            <w:tcW w:w="1131" w:type="dxa"/>
            <w:hideMark/>
          </w:tcPr>
          <w:p w14:paraId="43EDD3FC"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321.095</w:t>
            </w:r>
          </w:p>
        </w:tc>
        <w:tc>
          <w:tcPr>
            <w:tcW w:w="1131" w:type="dxa"/>
            <w:hideMark/>
          </w:tcPr>
          <w:p w14:paraId="15EA3B2C"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2.435</w:t>
            </w:r>
          </w:p>
        </w:tc>
        <w:tc>
          <w:tcPr>
            <w:tcW w:w="1131" w:type="dxa"/>
            <w:hideMark/>
          </w:tcPr>
          <w:p w14:paraId="55ECCB8B"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1.724</w:t>
            </w:r>
          </w:p>
        </w:tc>
        <w:tc>
          <w:tcPr>
            <w:tcW w:w="1131" w:type="dxa"/>
            <w:hideMark/>
          </w:tcPr>
          <w:p w14:paraId="7849750D"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3.387</w:t>
            </w:r>
          </w:p>
        </w:tc>
        <w:tc>
          <w:tcPr>
            <w:tcW w:w="1131" w:type="dxa"/>
            <w:hideMark/>
          </w:tcPr>
          <w:p w14:paraId="351C6098"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0.000</w:t>
            </w:r>
          </w:p>
        </w:tc>
      </w:tr>
      <w:tr w:rsidR="00CA1B76" w:rsidRPr="00CA1B76" w14:paraId="1A3234A3" w14:textId="77777777">
        <w:tc>
          <w:tcPr>
            <w:tcW w:w="1131" w:type="dxa"/>
            <w:hideMark/>
          </w:tcPr>
          <w:p w14:paraId="06A0B30A"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Poisson</w:t>
            </w:r>
          </w:p>
        </w:tc>
        <w:tc>
          <w:tcPr>
            <w:tcW w:w="1131" w:type="dxa"/>
            <w:hideMark/>
          </w:tcPr>
          <w:p w14:paraId="5E013CCE"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Total observed count</w:t>
            </w:r>
          </w:p>
        </w:tc>
        <w:tc>
          <w:tcPr>
            <w:tcW w:w="1131" w:type="dxa"/>
            <w:hideMark/>
          </w:tcPr>
          <w:p w14:paraId="7086912F"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26003892304.000</w:t>
            </w:r>
          </w:p>
        </w:tc>
        <w:tc>
          <w:tcPr>
            <w:tcW w:w="1131" w:type="dxa"/>
            <w:hideMark/>
          </w:tcPr>
          <w:p w14:paraId="757CBCEB"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26003893833.864</w:t>
            </w:r>
          </w:p>
        </w:tc>
        <w:tc>
          <w:tcPr>
            <w:tcW w:w="1131" w:type="dxa"/>
            <w:hideMark/>
          </w:tcPr>
          <w:p w14:paraId="4D688585"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26003443011.100</w:t>
            </w:r>
          </w:p>
        </w:tc>
        <w:tc>
          <w:tcPr>
            <w:tcW w:w="1131" w:type="dxa"/>
            <w:hideMark/>
          </w:tcPr>
          <w:p w14:paraId="3DD72CC9"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26004313384.100</w:t>
            </w:r>
          </w:p>
        </w:tc>
        <w:tc>
          <w:tcPr>
            <w:tcW w:w="1131" w:type="dxa"/>
            <w:hideMark/>
          </w:tcPr>
          <w:p w14:paraId="02DE0353"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0.502</w:t>
            </w:r>
          </w:p>
        </w:tc>
      </w:tr>
      <w:tr w:rsidR="00CA1B76" w:rsidRPr="00CA1B76" w14:paraId="2D85BBAD" w14:textId="77777777">
        <w:tc>
          <w:tcPr>
            <w:tcW w:w="1131" w:type="dxa"/>
            <w:hideMark/>
          </w:tcPr>
          <w:p w14:paraId="131A0E83"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Poisson</w:t>
            </w:r>
          </w:p>
        </w:tc>
        <w:tc>
          <w:tcPr>
            <w:tcW w:w="1131" w:type="dxa"/>
            <w:hideMark/>
          </w:tcPr>
          <w:p w14:paraId="69AB7208"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Row-level 95% predictive coverage</w:t>
            </w:r>
          </w:p>
        </w:tc>
        <w:tc>
          <w:tcPr>
            <w:tcW w:w="1131" w:type="dxa"/>
            <w:hideMark/>
          </w:tcPr>
          <w:p w14:paraId="714290D1"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0.381</w:t>
            </w:r>
          </w:p>
        </w:tc>
        <w:tc>
          <w:tcPr>
            <w:tcW w:w="1131" w:type="dxa"/>
          </w:tcPr>
          <w:p w14:paraId="21BAA20E" w14:textId="77777777" w:rsidR="00CA1B76" w:rsidRPr="00CA1B76" w:rsidRDefault="00CA1B76" w:rsidP="006413D0">
            <w:pPr>
              <w:spacing w:before="36" w:after="36"/>
              <w:jc w:val="both"/>
              <w:rPr>
                <w:rFonts w:ascii="Times New Roman" w:eastAsia="等线" w:hAnsi="Times New Roman"/>
              </w:rPr>
            </w:pPr>
          </w:p>
        </w:tc>
        <w:tc>
          <w:tcPr>
            <w:tcW w:w="1131" w:type="dxa"/>
          </w:tcPr>
          <w:p w14:paraId="0FE7BDF1" w14:textId="77777777" w:rsidR="00CA1B76" w:rsidRPr="00CA1B76" w:rsidRDefault="00CA1B76" w:rsidP="006413D0">
            <w:pPr>
              <w:spacing w:before="36" w:after="36"/>
              <w:jc w:val="both"/>
              <w:rPr>
                <w:rFonts w:ascii="Times New Roman" w:eastAsia="等线" w:hAnsi="Times New Roman"/>
              </w:rPr>
            </w:pPr>
          </w:p>
        </w:tc>
        <w:tc>
          <w:tcPr>
            <w:tcW w:w="1131" w:type="dxa"/>
          </w:tcPr>
          <w:p w14:paraId="486E8BA2" w14:textId="77777777" w:rsidR="00CA1B76" w:rsidRPr="00CA1B76" w:rsidRDefault="00CA1B76" w:rsidP="006413D0">
            <w:pPr>
              <w:spacing w:before="36" w:after="36"/>
              <w:jc w:val="both"/>
              <w:rPr>
                <w:rFonts w:ascii="Times New Roman" w:eastAsia="等线" w:hAnsi="Times New Roman"/>
              </w:rPr>
            </w:pPr>
          </w:p>
        </w:tc>
        <w:tc>
          <w:tcPr>
            <w:tcW w:w="1131" w:type="dxa"/>
          </w:tcPr>
          <w:p w14:paraId="53EFB1D3" w14:textId="77777777" w:rsidR="00CA1B76" w:rsidRPr="00CA1B76" w:rsidRDefault="00CA1B76" w:rsidP="006413D0">
            <w:pPr>
              <w:spacing w:before="36" w:after="36"/>
              <w:jc w:val="both"/>
              <w:rPr>
                <w:rFonts w:ascii="Times New Roman" w:eastAsia="等线" w:hAnsi="Times New Roman"/>
              </w:rPr>
            </w:pPr>
          </w:p>
        </w:tc>
      </w:tr>
      <w:tr w:rsidR="00CA1B76" w:rsidRPr="00CA1B76" w14:paraId="6025A0DA" w14:textId="77777777">
        <w:tc>
          <w:tcPr>
            <w:tcW w:w="1131" w:type="dxa"/>
            <w:hideMark/>
          </w:tcPr>
          <w:p w14:paraId="7E7DB56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Poisson</w:t>
            </w:r>
          </w:p>
        </w:tc>
        <w:tc>
          <w:tcPr>
            <w:tcW w:w="1131" w:type="dxa"/>
            <w:hideMark/>
          </w:tcPr>
          <w:p w14:paraId="37A47321"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Mean absolute percentage error</w:t>
            </w:r>
          </w:p>
        </w:tc>
        <w:tc>
          <w:tcPr>
            <w:tcW w:w="1131" w:type="dxa"/>
            <w:hideMark/>
          </w:tcPr>
          <w:p w14:paraId="3AE17CA6"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0.467</w:t>
            </w:r>
          </w:p>
        </w:tc>
        <w:tc>
          <w:tcPr>
            <w:tcW w:w="1131" w:type="dxa"/>
          </w:tcPr>
          <w:p w14:paraId="7777C6F7" w14:textId="77777777" w:rsidR="00CA1B76" w:rsidRPr="00CA1B76" w:rsidRDefault="00CA1B76" w:rsidP="006413D0">
            <w:pPr>
              <w:spacing w:before="36" w:after="36"/>
              <w:jc w:val="both"/>
              <w:rPr>
                <w:rFonts w:ascii="Times New Roman" w:eastAsia="等线" w:hAnsi="Times New Roman"/>
              </w:rPr>
            </w:pPr>
          </w:p>
        </w:tc>
        <w:tc>
          <w:tcPr>
            <w:tcW w:w="1131" w:type="dxa"/>
          </w:tcPr>
          <w:p w14:paraId="4918E9B1" w14:textId="77777777" w:rsidR="00CA1B76" w:rsidRPr="00CA1B76" w:rsidRDefault="00CA1B76" w:rsidP="006413D0">
            <w:pPr>
              <w:spacing w:before="36" w:after="36"/>
              <w:jc w:val="both"/>
              <w:rPr>
                <w:rFonts w:ascii="Times New Roman" w:eastAsia="等线" w:hAnsi="Times New Roman"/>
              </w:rPr>
            </w:pPr>
          </w:p>
        </w:tc>
        <w:tc>
          <w:tcPr>
            <w:tcW w:w="1131" w:type="dxa"/>
          </w:tcPr>
          <w:p w14:paraId="5BC9FDCC" w14:textId="77777777" w:rsidR="00CA1B76" w:rsidRPr="00CA1B76" w:rsidRDefault="00CA1B76" w:rsidP="006413D0">
            <w:pPr>
              <w:spacing w:before="36" w:after="36"/>
              <w:jc w:val="both"/>
              <w:rPr>
                <w:rFonts w:ascii="Times New Roman" w:eastAsia="等线" w:hAnsi="Times New Roman"/>
              </w:rPr>
            </w:pPr>
          </w:p>
        </w:tc>
        <w:tc>
          <w:tcPr>
            <w:tcW w:w="1131" w:type="dxa"/>
          </w:tcPr>
          <w:p w14:paraId="6F1A546C" w14:textId="77777777" w:rsidR="00CA1B76" w:rsidRPr="00CA1B76" w:rsidRDefault="00CA1B76" w:rsidP="006413D0">
            <w:pPr>
              <w:spacing w:before="36" w:after="36"/>
              <w:jc w:val="both"/>
              <w:rPr>
                <w:rFonts w:ascii="Times New Roman" w:eastAsia="等线" w:hAnsi="Times New Roman"/>
              </w:rPr>
            </w:pPr>
          </w:p>
        </w:tc>
      </w:tr>
      <w:tr w:rsidR="00CA1B76" w:rsidRPr="00CA1B76" w14:paraId="58282CEC" w14:textId="77777777">
        <w:tc>
          <w:tcPr>
            <w:tcW w:w="1131" w:type="dxa"/>
            <w:hideMark/>
          </w:tcPr>
          <w:p w14:paraId="1E98C18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Negative binomial</w:t>
            </w:r>
          </w:p>
        </w:tc>
        <w:tc>
          <w:tcPr>
            <w:tcW w:w="1131" w:type="dxa"/>
            <w:hideMark/>
          </w:tcPr>
          <w:p w14:paraId="65446ACC"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Pearson discrepancy</w:t>
            </w:r>
          </w:p>
        </w:tc>
        <w:tc>
          <w:tcPr>
            <w:tcW w:w="1131" w:type="dxa"/>
            <w:hideMark/>
          </w:tcPr>
          <w:p w14:paraId="0CC1F465"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2072801.579</w:t>
            </w:r>
          </w:p>
        </w:tc>
        <w:tc>
          <w:tcPr>
            <w:tcW w:w="1131" w:type="dxa"/>
            <w:hideMark/>
          </w:tcPr>
          <w:p w14:paraId="07C989D5"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2140715.072</w:t>
            </w:r>
          </w:p>
        </w:tc>
        <w:tc>
          <w:tcPr>
            <w:tcW w:w="1131" w:type="dxa"/>
            <w:hideMark/>
          </w:tcPr>
          <w:p w14:paraId="59B95A43"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912047.947</w:t>
            </w:r>
          </w:p>
        </w:tc>
        <w:tc>
          <w:tcPr>
            <w:tcW w:w="1131" w:type="dxa"/>
            <w:hideMark/>
          </w:tcPr>
          <w:p w14:paraId="36C8AAC9"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4223140.880</w:t>
            </w:r>
          </w:p>
        </w:tc>
        <w:tc>
          <w:tcPr>
            <w:tcW w:w="1131" w:type="dxa"/>
            <w:hideMark/>
          </w:tcPr>
          <w:p w14:paraId="4B4CB0D1"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0.476</w:t>
            </w:r>
          </w:p>
        </w:tc>
      </w:tr>
      <w:tr w:rsidR="00CA1B76" w:rsidRPr="00CA1B76" w14:paraId="64EF2A64" w14:textId="77777777">
        <w:tc>
          <w:tcPr>
            <w:tcW w:w="1131" w:type="dxa"/>
            <w:hideMark/>
          </w:tcPr>
          <w:p w14:paraId="18504243"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Negative binomial</w:t>
            </w:r>
          </w:p>
        </w:tc>
        <w:tc>
          <w:tcPr>
            <w:tcW w:w="1131" w:type="dxa"/>
            <w:hideMark/>
          </w:tcPr>
          <w:p w14:paraId="5A0AC6BA"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Maximum absolute standardized residual</w:t>
            </w:r>
          </w:p>
        </w:tc>
        <w:tc>
          <w:tcPr>
            <w:tcW w:w="1131" w:type="dxa"/>
            <w:hideMark/>
          </w:tcPr>
          <w:p w14:paraId="6A76A4DC"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592.773</w:t>
            </w:r>
          </w:p>
        </w:tc>
        <w:tc>
          <w:tcPr>
            <w:tcW w:w="1131" w:type="dxa"/>
            <w:hideMark/>
          </w:tcPr>
          <w:p w14:paraId="649F7D36"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598.527</w:t>
            </w:r>
          </w:p>
        </w:tc>
        <w:tc>
          <w:tcPr>
            <w:tcW w:w="1131" w:type="dxa"/>
            <w:hideMark/>
          </w:tcPr>
          <w:p w14:paraId="55937308"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349.136</w:t>
            </w:r>
          </w:p>
        </w:tc>
        <w:tc>
          <w:tcPr>
            <w:tcW w:w="1131" w:type="dxa"/>
            <w:hideMark/>
          </w:tcPr>
          <w:p w14:paraId="14B0E1C3"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971.285</w:t>
            </w:r>
          </w:p>
        </w:tc>
        <w:tc>
          <w:tcPr>
            <w:tcW w:w="1131" w:type="dxa"/>
            <w:hideMark/>
          </w:tcPr>
          <w:p w14:paraId="60D19FDF"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0.488</w:t>
            </w:r>
          </w:p>
        </w:tc>
      </w:tr>
      <w:tr w:rsidR="00CA1B76" w:rsidRPr="00CA1B76" w14:paraId="0558DF38" w14:textId="77777777">
        <w:tc>
          <w:tcPr>
            <w:tcW w:w="1131" w:type="dxa"/>
            <w:hideMark/>
          </w:tcPr>
          <w:p w14:paraId="463A2C3F"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Negative binomial</w:t>
            </w:r>
          </w:p>
        </w:tc>
        <w:tc>
          <w:tcPr>
            <w:tcW w:w="1131" w:type="dxa"/>
            <w:hideMark/>
          </w:tcPr>
          <w:p w14:paraId="40C058A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 xml:space="preserve">Total observed </w:t>
            </w:r>
            <w:r w:rsidRPr="00CA1B76">
              <w:rPr>
                <w:rFonts w:ascii="Times New Roman" w:eastAsia="等线" w:hAnsi="Times New Roman"/>
              </w:rPr>
              <w:lastRenderedPageBreak/>
              <w:t>count</w:t>
            </w:r>
          </w:p>
        </w:tc>
        <w:tc>
          <w:tcPr>
            <w:tcW w:w="1131" w:type="dxa"/>
            <w:hideMark/>
          </w:tcPr>
          <w:p w14:paraId="2E152056"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lastRenderedPageBreak/>
              <w:t>26003892304.000</w:t>
            </w:r>
          </w:p>
        </w:tc>
        <w:tc>
          <w:tcPr>
            <w:tcW w:w="1131" w:type="dxa"/>
            <w:hideMark/>
          </w:tcPr>
          <w:p w14:paraId="7B8642C7"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26001689038.619</w:t>
            </w:r>
          </w:p>
        </w:tc>
        <w:tc>
          <w:tcPr>
            <w:tcW w:w="1131" w:type="dxa"/>
            <w:hideMark/>
          </w:tcPr>
          <w:p w14:paraId="68BCCDB1"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25893406427.275</w:t>
            </w:r>
          </w:p>
        </w:tc>
        <w:tc>
          <w:tcPr>
            <w:tcW w:w="1131" w:type="dxa"/>
            <w:hideMark/>
          </w:tcPr>
          <w:p w14:paraId="2E2BF3D1"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26113763710.150</w:t>
            </w:r>
          </w:p>
        </w:tc>
        <w:tc>
          <w:tcPr>
            <w:tcW w:w="1131" w:type="dxa"/>
            <w:hideMark/>
          </w:tcPr>
          <w:p w14:paraId="67355DB5"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0.480</w:t>
            </w:r>
          </w:p>
        </w:tc>
      </w:tr>
      <w:tr w:rsidR="00CA1B76" w:rsidRPr="00CA1B76" w14:paraId="18844CCB" w14:textId="77777777">
        <w:tc>
          <w:tcPr>
            <w:tcW w:w="1131" w:type="dxa"/>
            <w:hideMark/>
          </w:tcPr>
          <w:p w14:paraId="3D78217D"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Negative binomial</w:t>
            </w:r>
          </w:p>
        </w:tc>
        <w:tc>
          <w:tcPr>
            <w:tcW w:w="1131" w:type="dxa"/>
            <w:hideMark/>
          </w:tcPr>
          <w:p w14:paraId="44A99073"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Row-level 95% predictive coverage</w:t>
            </w:r>
          </w:p>
        </w:tc>
        <w:tc>
          <w:tcPr>
            <w:tcW w:w="1131" w:type="dxa"/>
            <w:hideMark/>
          </w:tcPr>
          <w:p w14:paraId="38177607"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1.000</w:t>
            </w:r>
          </w:p>
        </w:tc>
        <w:tc>
          <w:tcPr>
            <w:tcW w:w="1131" w:type="dxa"/>
          </w:tcPr>
          <w:p w14:paraId="7717B3BF" w14:textId="77777777" w:rsidR="00CA1B76" w:rsidRPr="00CA1B76" w:rsidRDefault="00CA1B76" w:rsidP="006413D0">
            <w:pPr>
              <w:spacing w:before="36" w:after="36"/>
              <w:jc w:val="both"/>
              <w:rPr>
                <w:rFonts w:ascii="Times New Roman" w:eastAsia="等线" w:hAnsi="Times New Roman"/>
              </w:rPr>
            </w:pPr>
          </w:p>
        </w:tc>
        <w:tc>
          <w:tcPr>
            <w:tcW w:w="1131" w:type="dxa"/>
          </w:tcPr>
          <w:p w14:paraId="635791FB" w14:textId="77777777" w:rsidR="00CA1B76" w:rsidRPr="00CA1B76" w:rsidRDefault="00CA1B76" w:rsidP="006413D0">
            <w:pPr>
              <w:spacing w:before="36" w:after="36"/>
              <w:jc w:val="both"/>
              <w:rPr>
                <w:rFonts w:ascii="Times New Roman" w:eastAsia="等线" w:hAnsi="Times New Roman"/>
              </w:rPr>
            </w:pPr>
          </w:p>
        </w:tc>
        <w:tc>
          <w:tcPr>
            <w:tcW w:w="1131" w:type="dxa"/>
          </w:tcPr>
          <w:p w14:paraId="31884418" w14:textId="77777777" w:rsidR="00CA1B76" w:rsidRPr="00CA1B76" w:rsidRDefault="00CA1B76" w:rsidP="006413D0">
            <w:pPr>
              <w:spacing w:before="36" w:after="36"/>
              <w:jc w:val="both"/>
              <w:rPr>
                <w:rFonts w:ascii="Times New Roman" w:eastAsia="等线" w:hAnsi="Times New Roman"/>
              </w:rPr>
            </w:pPr>
          </w:p>
        </w:tc>
        <w:tc>
          <w:tcPr>
            <w:tcW w:w="1131" w:type="dxa"/>
          </w:tcPr>
          <w:p w14:paraId="53A91480" w14:textId="77777777" w:rsidR="00CA1B76" w:rsidRPr="00CA1B76" w:rsidRDefault="00CA1B76" w:rsidP="006413D0">
            <w:pPr>
              <w:spacing w:before="36" w:after="36"/>
              <w:jc w:val="both"/>
              <w:rPr>
                <w:rFonts w:ascii="Times New Roman" w:eastAsia="等线" w:hAnsi="Times New Roman"/>
              </w:rPr>
            </w:pPr>
          </w:p>
        </w:tc>
      </w:tr>
      <w:tr w:rsidR="00CA1B76" w:rsidRPr="00CA1B76" w14:paraId="2C5640AA" w14:textId="77777777" w:rsidTr="00CA1B76">
        <w:tc>
          <w:tcPr>
            <w:tcW w:w="1131" w:type="dxa"/>
            <w:tcBorders>
              <w:bottom w:val="single" w:sz="4" w:space="0" w:color="auto"/>
            </w:tcBorders>
            <w:hideMark/>
          </w:tcPr>
          <w:p w14:paraId="2682B681"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Negative binomial</w:t>
            </w:r>
          </w:p>
        </w:tc>
        <w:tc>
          <w:tcPr>
            <w:tcW w:w="1131" w:type="dxa"/>
            <w:tcBorders>
              <w:bottom w:val="single" w:sz="4" w:space="0" w:color="auto"/>
            </w:tcBorders>
            <w:hideMark/>
          </w:tcPr>
          <w:p w14:paraId="7FA03386"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Mean absolute percentage error</w:t>
            </w:r>
          </w:p>
        </w:tc>
        <w:tc>
          <w:tcPr>
            <w:tcW w:w="1131" w:type="dxa"/>
            <w:tcBorders>
              <w:bottom w:val="single" w:sz="4" w:space="0" w:color="auto"/>
            </w:tcBorders>
            <w:hideMark/>
          </w:tcPr>
          <w:p w14:paraId="3FE59284"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0.509</w:t>
            </w:r>
          </w:p>
        </w:tc>
        <w:tc>
          <w:tcPr>
            <w:tcW w:w="1131" w:type="dxa"/>
            <w:tcBorders>
              <w:bottom w:val="single" w:sz="4" w:space="0" w:color="auto"/>
            </w:tcBorders>
          </w:tcPr>
          <w:p w14:paraId="6532AF16" w14:textId="77777777" w:rsidR="00CA1B76" w:rsidRPr="00CA1B76" w:rsidRDefault="00CA1B76" w:rsidP="006413D0">
            <w:pPr>
              <w:spacing w:before="36" w:after="36"/>
              <w:jc w:val="both"/>
              <w:rPr>
                <w:rFonts w:ascii="Times New Roman" w:eastAsia="等线" w:hAnsi="Times New Roman"/>
              </w:rPr>
            </w:pPr>
          </w:p>
        </w:tc>
        <w:tc>
          <w:tcPr>
            <w:tcW w:w="1131" w:type="dxa"/>
            <w:tcBorders>
              <w:bottom w:val="single" w:sz="4" w:space="0" w:color="auto"/>
            </w:tcBorders>
          </w:tcPr>
          <w:p w14:paraId="6473D6BA" w14:textId="77777777" w:rsidR="00CA1B76" w:rsidRPr="00CA1B76" w:rsidRDefault="00CA1B76" w:rsidP="006413D0">
            <w:pPr>
              <w:spacing w:before="36" w:after="36"/>
              <w:jc w:val="both"/>
              <w:rPr>
                <w:rFonts w:ascii="Times New Roman" w:eastAsia="等线" w:hAnsi="Times New Roman"/>
              </w:rPr>
            </w:pPr>
          </w:p>
        </w:tc>
        <w:tc>
          <w:tcPr>
            <w:tcW w:w="1131" w:type="dxa"/>
            <w:tcBorders>
              <w:bottom w:val="single" w:sz="4" w:space="0" w:color="auto"/>
            </w:tcBorders>
          </w:tcPr>
          <w:p w14:paraId="4B018173" w14:textId="77777777" w:rsidR="00CA1B76" w:rsidRPr="00CA1B76" w:rsidRDefault="00CA1B76" w:rsidP="006413D0">
            <w:pPr>
              <w:spacing w:before="36" w:after="36"/>
              <w:jc w:val="both"/>
              <w:rPr>
                <w:rFonts w:ascii="Times New Roman" w:eastAsia="等线" w:hAnsi="Times New Roman"/>
              </w:rPr>
            </w:pPr>
          </w:p>
        </w:tc>
        <w:tc>
          <w:tcPr>
            <w:tcW w:w="1131" w:type="dxa"/>
            <w:tcBorders>
              <w:bottom w:val="single" w:sz="4" w:space="0" w:color="auto"/>
            </w:tcBorders>
          </w:tcPr>
          <w:p w14:paraId="13CFF77D" w14:textId="77777777" w:rsidR="00CA1B76" w:rsidRPr="00CA1B76" w:rsidRDefault="00CA1B76" w:rsidP="006413D0">
            <w:pPr>
              <w:spacing w:before="36" w:after="36"/>
              <w:jc w:val="both"/>
              <w:rPr>
                <w:rFonts w:ascii="Times New Roman" w:eastAsia="等线" w:hAnsi="Times New Roman"/>
              </w:rPr>
            </w:pPr>
          </w:p>
        </w:tc>
      </w:tr>
    </w:tbl>
    <w:p w14:paraId="03FB93D3" w14:textId="5C4FDE24" w:rsidR="00CA1B76" w:rsidRPr="00CA1B76" w:rsidRDefault="00CA1B76" w:rsidP="006413D0">
      <w:pPr>
        <w:spacing w:before="180" w:after="180"/>
        <w:jc w:val="both"/>
        <w:rPr>
          <w:rFonts w:ascii="Times New Roman" w:eastAsia="等线" w:hAnsi="Times New Roman" w:cs="Times New Roman"/>
        </w:rPr>
      </w:pPr>
      <w:r w:rsidRPr="00CA1B76">
        <w:rPr>
          <w:rFonts w:ascii="Times New Roman" w:eastAsia="等线" w:hAnsi="Times New Roman" w:cs="Times New Roman"/>
          <w:b/>
          <w:bCs/>
        </w:rPr>
        <w:t>Supplementary Table 4. Forecast summary from the negative-binomial Bayesian APC model for 2024 and 2050.</w:t>
      </w:r>
    </w:p>
    <w:tbl>
      <w:tblPr>
        <w:tblStyle w:val="Table2"/>
        <w:tblW w:w="5000" w:type="pct"/>
        <w:tblInd w:w="0" w:type="dxa"/>
        <w:tblLayout w:type="fixed"/>
        <w:tblLook w:val="0020" w:firstRow="1" w:lastRow="0" w:firstColumn="0" w:lastColumn="0" w:noHBand="0" w:noVBand="0"/>
      </w:tblPr>
      <w:tblGrid>
        <w:gridCol w:w="1476"/>
        <w:gridCol w:w="1476"/>
        <w:gridCol w:w="1476"/>
        <w:gridCol w:w="1476"/>
        <w:gridCol w:w="1476"/>
        <w:gridCol w:w="1476"/>
      </w:tblGrid>
      <w:tr w:rsidR="00CA1B76" w:rsidRPr="00CA1B76" w14:paraId="7ECE86B9" w14:textId="77777777" w:rsidTr="00CA1B76">
        <w:trPr>
          <w:cnfStyle w:val="100000000000" w:firstRow="1" w:lastRow="0" w:firstColumn="0" w:lastColumn="0" w:oddVBand="0" w:evenVBand="0" w:oddHBand="0" w:evenHBand="0" w:firstRowFirstColumn="0" w:firstRowLastColumn="0" w:lastRowFirstColumn="0" w:lastRowLastColumn="0"/>
          <w:tblHeader/>
        </w:trPr>
        <w:tc>
          <w:tcPr>
            <w:tcW w:w="1476" w:type="dxa"/>
            <w:tcBorders>
              <w:top w:val="single" w:sz="4" w:space="0" w:color="auto"/>
              <w:left w:val="nil"/>
              <w:right w:val="nil"/>
            </w:tcBorders>
            <w:hideMark/>
          </w:tcPr>
          <w:p w14:paraId="6562C5DD"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Year</w:t>
            </w:r>
          </w:p>
        </w:tc>
        <w:tc>
          <w:tcPr>
            <w:tcW w:w="1476" w:type="dxa"/>
            <w:tcBorders>
              <w:top w:val="single" w:sz="4" w:space="0" w:color="auto"/>
              <w:left w:val="nil"/>
              <w:right w:val="nil"/>
            </w:tcBorders>
            <w:hideMark/>
          </w:tcPr>
          <w:p w14:paraId="194DA2AD"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Population (billion)</w:t>
            </w:r>
          </w:p>
        </w:tc>
        <w:tc>
          <w:tcPr>
            <w:tcW w:w="1476" w:type="dxa"/>
            <w:tcBorders>
              <w:top w:val="single" w:sz="4" w:space="0" w:color="auto"/>
              <w:left w:val="nil"/>
              <w:right w:val="nil"/>
            </w:tcBorders>
            <w:hideMark/>
          </w:tcPr>
          <w:p w14:paraId="5266963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Prevalent cases (billion), mean</w:t>
            </w:r>
          </w:p>
        </w:tc>
        <w:tc>
          <w:tcPr>
            <w:tcW w:w="1476" w:type="dxa"/>
            <w:tcBorders>
              <w:top w:val="single" w:sz="4" w:space="0" w:color="auto"/>
              <w:left w:val="nil"/>
              <w:right w:val="nil"/>
            </w:tcBorders>
            <w:hideMark/>
          </w:tcPr>
          <w:p w14:paraId="449CE3B7"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Prevalent cases (billion), 95% CrI</w:t>
            </w:r>
          </w:p>
        </w:tc>
        <w:tc>
          <w:tcPr>
            <w:tcW w:w="1476" w:type="dxa"/>
            <w:tcBorders>
              <w:top w:val="single" w:sz="4" w:space="0" w:color="auto"/>
              <w:left w:val="nil"/>
              <w:right w:val="nil"/>
            </w:tcBorders>
            <w:hideMark/>
          </w:tcPr>
          <w:p w14:paraId="51D8BE5E"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Crude prevalence per 100,000, mean</w:t>
            </w:r>
          </w:p>
        </w:tc>
        <w:tc>
          <w:tcPr>
            <w:tcW w:w="1476" w:type="dxa"/>
            <w:tcBorders>
              <w:top w:val="single" w:sz="4" w:space="0" w:color="auto"/>
              <w:left w:val="nil"/>
              <w:right w:val="nil"/>
            </w:tcBorders>
            <w:hideMark/>
          </w:tcPr>
          <w:p w14:paraId="030C02A8"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Crude prevalence per 100,000, 95% CrI</w:t>
            </w:r>
          </w:p>
        </w:tc>
      </w:tr>
      <w:tr w:rsidR="00CA1B76" w:rsidRPr="00CA1B76" w14:paraId="486F238E" w14:textId="77777777" w:rsidTr="00CA1B76">
        <w:tc>
          <w:tcPr>
            <w:tcW w:w="1476" w:type="dxa"/>
            <w:hideMark/>
          </w:tcPr>
          <w:p w14:paraId="5413610B"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2024</w:t>
            </w:r>
          </w:p>
        </w:tc>
        <w:tc>
          <w:tcPr>
            <w:tcW w:w="1476" w:type="dxa"/>
            <w:hideMark/>
          </w:tcPr>
          <w:p w14:paraId="067EBAE4"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8.127</w:t>
            </w:r>
          </w:p>
        </w:tc>
        <w:tc>
          <w:tcPr>
            <w:tcW w:w="1476" w:type="dxa"/>
            <w:hideMark/>
          </w:tcPr>
          <w:p w14:paraId="46D472C7"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1.88</w:t>
            </w:r>
          </w:p>
        </w:tc>
        <w:tc>
          <w:tcPr>
            <w:tcW w:w="1476" w:type="dxa"/>
            <w:hideMark/>
          </w:tcPr>
          <w:p w14:paraId="5F440DBD"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1.83 to 1.93</w:t>
            </w:r>
          </w:p>
        </w:tc>
        <w:tc>
          <w:tcPr>
            <w:tcW w:w="1476" w:type="dxa"/>
            <w:hideMark/>
          </w:tcPr>
          <w:p w14:paraId="50CFF68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23127.50</w:t>
            </w:r>
          </w:p>
        </w:tc>
        <w:tc>
          <w:tcPr>
            <w:tcW w:w="1476" w:type="dxa"/>
            <w:hideMark/>
          </w:tcPr>
          <w:p w14:paraId="5530B3D0"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22573.02 to 23737.67</w:t>
            </w:r>
          </w:p>
        </w:tc>
      </w:tr>
      <w:tr w:rsidR="00CA1B76" w:rsidRPr="00CA1B76" w14:paraId="5C4BB43E" w14:textId="77777777" w:rsidTr="00CA1B76">
        <w:tc>
          <w:tcPr>
            <w:tcW w:w="1476" w:type="dxa"/>
            <w:tcBorders>
              <w:bottom w:val="single" w:sz="4" w:space="0" w:color="auto"/>
            </w:tcBorders>
            <w:hideMark/>
          </w:tcPr>
          <w:p w14:paraId="6AB3D520"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2050</w:t>
            </w:r>
          </w:p>
        </w:tc>
        <w:tc>
          <w:tcPr>
            <w:tcW w:w="1476" w:type="dxa"/>
            <w:tcBorders>
              <w:bottom w:val="single" w:sz="4" w:space="0" w:color="auto"/>
            </w:tcBorders>
            <w:hideMark/>
          </w:tcPr>
          <w:p w14:paraId="100424F7"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9.633</w:t>
            </w:r>
          </w:p>
        </w:tc>
        <w:tc>
          <w:tcPr>
            <w:tcW w:w="1476" w:type="dxa"/>
            <w:tcBorders>
              <w:bottom w:val="single" w:sz="4" w:space="0" w:color="auto"/>
            </w:tcBorders>
            <w:hideMark/>
          </w:tcPr>
          <w:p w14:paraId="0A0AC045"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2.28</w:t>
            </w:r>
          </w:p>
        </w:tc>
        <w:tc>
          <w:tcPr>
            <w:tcW w:w="1476" w:type="dxa"/>
            <w:tcBorders>
              <w:bottom w:val="single" w:sz="4" w:space="0" w:color="auto"/>
            </w:tcBorders>
            <w:hideMark/>
          </w:tcPr>
          <w:p w14:paraId="597ED4CE"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1.98 to 2.61</w:t>
            </w:r>
          </w:p>
        </w:tc>
        <w:tc>
          <w:tcPr>
            <w:tcW w:w="1476" w:type="dxa"/>
            <w:tcBorders>
              <w:bottom w:val="single" w:sz="4" w:space="0" w:color="auto"/>
            </w:tcBorders>
            <w:hideMark/>
          </w:tcPr>
          <w:p w14:paraId="71B6D673"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23653.08</w:t>
            </w:r>
          </w:p>
        </w:tc>
        <w:tc>
          <w:tcPr>
            <w:tcW w:w="1476" w:type="dxa"/>
            <w:tcBorders>
              <w:bottom w:val="single" w:sz="4" w:space="0" w:color="auto"/>
            </w:tcBorders>
            <w:hideMark/>
          </w:tcPr>
          <w:p w14:paraId="0E4DDE09"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20518.82 to 27139.87</w:t>
            </w:r>
          </w:p>
        </w:tc>
      </w:tr>
    </w:tbl>
    <w:p w14:paraId="4E802FA2" w14:textId="7F09F001" w:rsidR="00CA1B76" w:rsidRPr="00CA1B76" w:rsidRDefault="00CA1B76" w:rsidP="006413D0">
      <w:pPr>
        <w:pStyle w:val="a0"/>
        <w:jc w:val="both"/>
        <w:rPr>
          <w:rFonts w:ascii="Times New Roman" w:hAnsi="Times New Roman" w:cs="Times New Roman"/>
        </w:rPr>
      </w:pPr>
      <w:r w:rsidRPr="00CA1B76">
        <w:rPr>
          <w:rFonts w:ascii="Times New Roman" w:hAnsi="Times New Roman" w:cs="Times New Roman"/>
          <w:b/>
          <w:bCs/>
        </w:rPr>
        <w:t>Supplementary Table 5. Age-specific AAPC estimates for global LTBI prevalence rates and prevalent case counts, 1990-2023.</w:t>
      </w:r>
    </w:p>
    <w:tbl>
      <w:tblPr>
        <w:tblStyle w:val="Table"/>
        <w:tblW w:w="5000" w:type="pct"/>
        <w:tblLayout w:type="fixed"/>
        <w:tblLook w:val="0020" w:firstRow="1" w:lastRow="0" w:firstColumn="0" w:lastColumn="0" w:noHBand="0" w:noVBand="0"/>
      </w:tblPr>
      <w:tblGrid>
        <w:gridCol w:w="1772"/>
        <w:gridCol w:w="1771"/>
        <w:gridCol w:w="1771"/>
        <w:gridCol w:w="1771"/>
        <w:gridCol w:w="1771"/>
      </w:tblGrid>
      <w:tr w:rsidR="00CA1B76" w:rsidRPr="00CA1B76" w14:paraId="114AFA37" w14:textId="77777777" w:rsidTr="00CA1B76">
        <w:trPr>
          <w:cnfStyle w:val="100000000000" w:firstRow="1" w:lastRow="0" w:firstColumn="0" w:lastColumn="0" w:oddVBand="0" w:evenVBand="0" w:oddHBand="0" w:evenHBand="0" w:firstRowFirstColumn="0" w:firstRowLastColumn="0" w:lastRowFirstColumn="0" w:lastRowLastColumn="0"/>
          <w:tblHeader/>
        </w:trPr>
        <w:tc>
          <w:tcPr>
            <w:tcW w:w="1584" w:type="dxa"/>
            <w:tcBorders>
              <w:top w:val="single" w:sz="4" w:space="0" w:color="auto"/>
            </w:tcBorders>
          </w:tcPr>
          <w:p w14:paraId="26B03B7C" w14:textId="77777777" w:rsidR="00CA1B76" w:rsidRPr="00CA1B76" w:rsidRDefault="00CA1B76" w:rsidP="006413D0">
            <w:pPr>
              <w:pStyle w:val="Compact"/>
              <w:jc w:val="both"/>
              <w:rPr>
                <w:rFonts w:ascii="Times New Roman" w:hAnsi="Times New Roman" w:cs="Times New Roman"/>
              </w:rPr>
            </w:pPr>
            <w:r w:rsidRPr="00CA1B76">
              <w:rPr>
                <w:rFonts w:ascii="Times New Roman" w:hAnsi="Times New Roman" w:cs="Times New Roman"/>
              </w:rPr>
              <w:t>Age group</w:t>
            </w:r>
          </w:p>
        </w:tc>
        <w:tc>
          <w:tcPr>
            <w:tcW w:w="1584" w:type="dxa"/>
            <w:tcBorders>
              <w:top w:val="single" w:sz="4" w:space="0" w:color="auto"/>
            </w:tcBorders>
          </w:tcPr>
          <w:p w14:paraId="51E6D186" w14:textId="77777777" w:rsidR="00CA1B76" w:rsidRPr="00CA1B76" w:rsidRDefault="00CA1B76" w:rsidP="006413D0">
            <w:pPr>
              <w:pStyle w:val="Compact"/>
              <w:jc w:val="both"/>
              <w:rPr>
                <w:rFonts w:ascii="Times New Roman" w:hAnsi="Times New Roman" w:cs="Times New Roman"/>
              </w:rPr>
            </w:pPr>
            <w:r w:rsidRPr="00CA1B76">
              <w:rPr>
                <w:rFonts w:ascii="Times New Roman" w:hAnsi="Times New Roman" w:cs="Times New Roman"/>
              </w:rPr>
              <w:t>AAPC for prevalence rate, % (95% CI)</w:t>
            </w:r>
          </w:p>
        </w:tc>
        <w:tc>
          <w:tcPr>
            <w:tcW w:w="1584" w:type="dxa"/>
            <w:tcBorders>
              <w:top w:val="single" w:sz="4" w:space="0" w:color="auto"/>
            </w:tcBorders>
          </w:tcPr>
          <w:p w14:paraId="1F00D47A" w14:textId="77777777" w:rsidR="00CA1B76" w:rsidRPr="00CA1B76" w:rsidRDefault="00CA1B76" w:rsidP="006413D0">
            <w:pPr>
              <w:pStyle w:val="Compact"/>
              <w:jc w:val="both"/>
              <w:rPr>
                <w:rFonts w:ascii="Times New Roman" w:hAnsi="Times New Roman" w:cs="Times New Roman"/>
              </w:rPr>
            </w:pPr>
            <w:r w:rsidRPr="00CA1B76">
              <w:rPr>
                <w:rFonts w:ascii="Times New Roman" w:hAnsi="Times New Roman" w:cs="Times New Roman"/>
              </w:rPr>
              <w:t>P value for rate AAPC</w:t>
            </w:r>
          </w:p>
        </w:tc>
        <w:tc>
          <w:tcPr>
            <w:tcW w:w="1584" w:type="dxa"/>
            <w:tcBorders>
              <w:top w:val="single" w:sz="4" w:space="0" w:color="auto"/>
            </w:tcBorders>
          </w:tcPr>
          <w:p w14:paraId="7DE41B24" w14:textId="77777777" w:rsidR="00CA1B76" w:rsidRPr="00CA1B76" w:rsidRDefault="00CA1B76" w:rsidP="006413D0">
            <w:pPr>
              <w:pStyle w:val="Compact"/>
              <w:jc w:val="both"/>
              <w:rPr>
                <w:rFonts w:ascii="Times New Roman" w:hAnsi="Times New Roman" w:cs="Times New Roman"/>
              </w:rPr>
            </w:pPr>
            <w:r w:rsidRPr="00CA1B76">
              <w:rPr>
                <w:rFonts w:ascii="Times New Roman" w:hAnsi="Times New Roman" w:cs="Times New Roman"/>
              </w:rPr>
              <w:t>AAPC for prevalent cases, % (95% CI)</w:t>
            </w:r>
          </w:p>
        </w:tc>
        <w:tc>
          <w:tcPr>
            <w:tcW w:w="1584" w:type="dxa"/>
            <w:tcBorders>
              <w:top w:val="single" w:sz="4" w:space="0" w:color="auto"/>
            </w:tcBorders>
          </w:tcPr>
          <w:p w14:paraId="32F23794" w14:textId="77777777" w:rsidR="00CA1B76" w:rsidRPr="00CA1B76" w:rsidRDefault="00CA1B76" w:rsidP="006413D0">
            <w:pPr>
              <w:pStyle w:val="Compact"/>
              <w:jc w:val="both"/>
              <w:rPr>
                <w:rFonts w:ascii="Times New Roman" w:hAnsi="Times New Roman" w:cs="Times New Roman"/>
              </w:rPr>
            </w:pPr>
            <w:r w:rsidRPr="00CA1B76">
              <w:rPr>
                <w:rFonts w:ascii="Times New Roman" w:hAnsi="Times New Roman" w:cs="Times New Roman"/>
              </w:rPr>
              <w:t>P value for case-count AAPC</w:t>
            </w:r>
          </w:p>
        </w:tc>
      </w:tr>
      <w:tr w:rsidR="00CA1B76" w:rsidRPr="00CA1B76" w14:paraId="53B72815" w14:textId="77777777" w:rsidTr="00433CD6">
        <w:tc>
          <w:tcPr>
            <w:tcW w:w="1584" w:type="dxa"/>
          </w:tcPr>
          <w:p w14:paraId="046DD478" w14:textId="77777777" w:rsidR="00CA1B76" w:rsidRPr="00CA1B76" w:rsidRDefault="00CA1B76" w:rsidP="006413D0">
            <w:pPr>
              <w:pStyle w:val="Compact"/>
              <w:jc w:val="both"/>
              <w:rPr>
                <w:rFonts w:ascii="Times New Roman" w:hAnsi="Times New Roman" w:cs="Times New Roman"/>
              </w:rPr>
            </w:pPr>
            <w:r w:rsidRPr="00CA1B76">
              <w:rPr>
                <w:rFonts w:ascii="Times New Roman" w:hAnsi="Times New Roman" w:cs="Times New Roman"/>
              </w:rPr>
              <w:t>&lt;20 years</w:t>
            </w:r>
          </w:p>
        </w:tc>
        <w:tc>
          <w:tcPr>
            <w:tcW w:w="1584" w:type="dxa"/>
          </w:tcPr>
          <w:p w14:paraId="047CB3D3" w14:textId="77777777" w:rsidR="00CA1B76" w:rsidRPr="00CA1B76" w:rsidRDefault="00CA1B76" w:rsidP="006413D0">
            <w:pPr>
              <w:pStyle w:val="Compact"/>
              <w:jc w:val="both"/>
              <w:rPr>
                <w:rFonts w:ascii="Times New Roman" w:hAnsi="Times New Roman" w:cs="Times New Roman"/>
              </w:rPr>
            </w:pPr>
            <w:r w:rsidRPr="00CA1B76">
              <w:rPr>
                <w:rFonts w:ascii="Times New Roman" w:hAnsi="Times New Roman" w:cs="Times New Roman"/>
              </w:rPr>
              <w:t>-1.15 (-1.22 to -1.08)</w:t>
            </w:r>
          </w:p>
        </w:tc>
        <w:tc>
          <w:tcPr>
            <w:tcW w:w="1584" w:type="dxa"/>
          </w:tcPr>
          <w:p w14:paraId="3F0B49EB" w14:textId="77777777" w:rsidR="00CA1B76" w:rsidRPr="00CA1B76" w:rsidRDefault="00CA1B76" w:rsidP="006413D0">
            <w:pPr>
              <w:pStyle w:val="Compact"/>
              <w:jc w:val="both"/>
              <w:rPr>
                <w:rFonts w:ascii="Times New Roman" w:hAnsi="Times New Roman" w:cs="Times New Roman"/>
              </w:rPr>
            </w:pPr>
            <w:r w:rsidRPr="00CA1B76">
              <w:rPr>
                <w:rFonts w:ascii="Times New Roman" w:hAnsi="Times New Roman" w:cs="Times New Roman"/>
              </w:rPr>
              <w:t>&lt;0.001</w:t>
            </w:r>
          </w:p>
        </w:tc>
        <w:tc>
          <w:tcPr>
            <w:tcW w:w="1584" w:type="dxa"/>
          </w:tcPr>
          <w:p w14:paraId="2F1F92EA" w14:textId="77777777" w:rsidR="00CA1B76" w:rsidRPr="00CA1B76" w:rsidRDefault="00CA1B76" w:rsidP="006413D0">
            <w:pPr>
              <w:pStyle w:val="Compact"/>
              <w:jc w:val="both"/>
              <w:rPr>
                <w:rFonts w:ascii="Times New Roman" w:hAnsi="Times New Roman" w:cs="Times New Roman"/>
              </w:rPr>
            </w:pPr>
            <w:r w:rsidRPr="00CA1B76">
              <w:rPr>
                <w:rFonts w:ascii="Times New Roman" w:hAnsi="Times New Roman" w:cs="Times New Roman"/>
              </w:rPr>
              <w:t>-0.64 (-0.68 to -0.60)</w:t>
            </w:r>
          </w:p>
        </w:tc>
        <w:tc>
          <w:tcPr>
            <w:tcW w:w="1584" w:type="dxa"/>
          </w:tcPr>
          <w:p w14:paraId="6953ECFA" w14:textId="77777777" w:rsidR="00CA1B76" w:rsidRPr="00CA1B76" w:rsidRDefault="00CA1B76" w:rsidP="006413D0">
            <w:pPr>
              <w:pStyle w:val="Compact"/>
              <w:jc w:val="both"/>
              <w:rPr>
                <w:rFonts w:ascii="Times New Roman" w:hAnsi="Times New Roman" w:cs="Times New Roman"/>
              </w:rPr>
            </w:pPr>
            <w:r w:rsidRPr="00CA1B76">
              <w:rPr>
                <w:rFonts w:ascii="Times New Roman" w:hAnsi="Times New Roman" w:cs="Times New Roman"/>
              </w:rPr>
              <w:t>&lt;0.001</w:t>
            </w:r>
          </w:p>
        </w:tc>
      </w:tr>
      <w:tr w:rsidR="00CA1B76" w:rsidRPr="00CA1B76" w14:paraId="4A744D48" w14:textId="77777777" w:rsidTr="00433CD6">
        <w:tc>
          <w:tcPr>
            <w:tcW w:w="1584" w:type="dxa"/>
          </w:tcPr>
          <w:p w14:paraId="348991BC" w14:textId="77777777" w:rsidR="00CA1B76" w:rsidRPr="00CA1B76" w:rsidRDefault="00CA1B76" w:rsidP="006413D0">
            <w:pPr>
              <w:pStyle w:val="Compact"/>
              <w:jc w:val="both"/>
              <w:rPr>
                <w:rFonts w:ascii="Times New Roman" w:hAnsi="Times New Roman" w:cs="Times New Roman"/>
              </w:rPr>
            </w:pPr>
            <w:r w:rsidRPr="00CA1B76">
              <w:rPr>
                <w:rFonts w:ascii="Times New Roman" w:hAnsi="Times New Roman" w:cs="Times New Roman"/>
              </w:rPr>
              <w:t>20-54 years</w:t>
            </w:r>
          </w:p>
        </w:tc>
        <w:tc>
          <w:tcPr>
            <w:tcW w:w="1584" w:type="dxa"/>
          </w:tcPr>
          <w:p w14:paraId="1CA8A68D" w14:textId="77777777" w:rsidR="00CA1B76" w:rsidRPr="00CA1B76" w:rsidRDefault="00CA1B76" w:rsidP="006413D0">
            <w:pPr>
              <w:pStyle w:val="Compact"/>
              <w:jc w:val="both"/>
              <w:rPr>
                <w:rFonts w:ascii="Times New Roman" w:hAnsi="Times New Roman" w:cs="Times New Roman"/>
              </w:rPr>
            </w:pPr>
            <w:r w:rsidRPr="00CA1B76">
              <w:rPr>
                <w:rFonts w:ascii="Times New Roman" w:hAnsi="Times New Roman" w:cs="Times New Roman"/>
              </w:rPr>
              <w:t>-0.81 (-0.84 to -0.78)</w:t>
            </w:r>
          </w:p>
        </w:tc>
        <w:tc>
          <w:tcPr>
            <w:tcW w:w="1584" w:type="dxa"/>
          </w:tcPr>
          <w:p w14:paraId="0D0A2D1E" w14:textId="77777777" w:rsidR="00CA1B76" w:rsidRPr="00CA1B76" w:rsidRDefault="00CA1B76" w:rsidP="006413D0">
            <w:pPr>
              <w:pStyle w:val="Compact"/>
              <w:jc w:val="both"/>
              <w:rPr>
                <w:rFonts w:ascii="Times New Roman" w:hAnsi="Times New Roman" w:cs="Times New Roman"/>
              </w:rPr>
            </w:pPr>
            <w:r w:rsidRPr="00CA1B76">
              <w:rPr>
                <w:rFonts w:ascii="Times New Roman" w:hAnsi="Times New Roman" w:cs="Times New Roman"/>
              </w:rPr>
              <w:t>&lt;0.001</w:t>
            </w:r>
          </w:p>
        </w:tc>
        <w:tc>
          <w:tcPr>
            <w:tcW w:w="1584" w:type="dxa"/>
          </w:tcPr>
          <w:p w14:paraId="5A718CB9" w14:textId="77777777" w:rsidR="00CA1B76" w:rsidRPr="00CA1B76" w:rsidRDefault="00CA1B76" w:rsidP="006413D0">
            <w:pPr>
              <w:pStyle w:val="Compact"/>
              <w:jc w:val="both"/>
              <w:rPr>
                <w:rFonts w:ascii="Times New Roman" w:hAnsi="Times New Roman" w:cs="Times New Roman"/>
              </w:rPr>
            </w:pPr>
            <w:r w:rsidRPr="00CA1B76">
              <w:rPr>
                <w:rFonts w:ascii="Times New Roman" w:hAnsi="Times New Roman" w:cs="Times New Roman"/>
              </w:rPr>
              <w:t>0.58 (0.49 to 0.67)</w:t>
            </w:r>
          </w:p>
        </w:tc>
        <w:tc>
          <w:tcPr>
            <w:tcW w:w="1584" w:type="dxa"/>
          </w:tcPr>
          <w:p w14:paraId="51307138" w14:textId="77777777" w:rsidR="00CA1B76" w:rsidRPr="00CA1B76" w:rsidRDefault="00CA1B76" w:rsidP="006413D0">
            <w:pPr>
              <w:pStyle w:val="Compact"/>
              <w:jc w:val="both"/>
              <w:rPr>
                <w:rFonts w:ascii="Times New Roman" w:hAnsi="Times New Roman" w:cs="Times New Roman"/>
              </w:rPr>
            </w:pPr>
            <w:r w:rsidRPr="00CA1B76">
              <w:rPr>
                <w:rFonts w:ascii="Times New Roman" w:hAnsi="Times New Roman" w:cs="Times New Roman"/>
              </w:rPr>
              <w:t>&lt;0.001</w:t>
            </w:r>
          </w:p>
        </w:tc>
      </w:tr>
      <w:tr w:rsidR="00CA1B76" w:rsidRPr="00CA1B76" w14:paraId="6B40E45C" w14:textId="77777777" w:rsidTr="00CA1B76">
        <w:tc>
          <w:tcPr>
            <w:tcW w:w="1584" w:type="dxa"/>
            <w:tcBorders>
              <w:bottom w:val="single" w:sz="4" w:space="0" w:color="auto"/>
            </w:tcBorders>
          </w:tcPr>
          <w:p w14:paraId="6AC5981F" w14:textId="77777777" w:rsidR="00CA1B76" w:rsidRPr="00CA1B76" w:rsidRDefault="00CA1B76" w:rsidP="006413D0">
            <w:pPr>
              <w:pStyle w:val="Compact"/>
              <w:jc w:val="both"/>
              <w:rPr>
                <w:rFonts w:ascii="Times New Roman" w:hAnsi="Times New Roman" w:cs="Times New Roman"/>
              </w:rPr>
            </w:pPr>
            <w:r w:rsidRPr="00CA1B76">
              <w:rPr>
                <w:rFonts w:ascii="Times New Roman" w:hAnsi="Times New Roman" w:cs="Times New Roman"/>
              </w:rPr>
              <w:t>55+ years</w:t>
            </w:r>
          </w:p>
        </w:tc>
        <w:tc>
          <w:tcPr>
            <w:tcW w:w="1584" w:type="dxa"/>
            <w:tcBorders>
              <w:bottom w:val="single" w:sz="4" w:space="0" w:color="auto"/>
            </w:tcBorders>
          </w:tcPr>
          <w:p w14:paraId="3969DCB7" w14:textId="77777777" w:rsidR="00CA1B76" w:rsidRPr="00CA1B76" w:rsidRDefault="00CA1B76" w:rsidP="006413D0">
            <w:pPr>
              <w:pStyle w:val="Compact"/>
              <w:jc w:val="both"/>
              <w:rPr>
                <w:rFonts w:ascii="Times New Roman" w:hAnsi="Times New Roman" w:cs="Times New Roman"/>
              </w:rPr>
            </w:pPr>
            <w:r w:rsidRPr="00CA1B76">
              <w:rPr>
                <w:rFonts w:ascii="Times New Roman" w:hAnsi="Times New Roman" w:cs="Times New Roman"/>
              </w:rPr>
              <w:t>-0.66 (-0.71 to -0.60)</w:t>
            </w:r>
          </w:p>
        </w:tc>
        <w:tc>
          <w:tcPr>
            <w:tcW w:w="1584" w:type="dxa"/>
            <w:tcBorders>
              <w:bottom w:val="single" w:sz="4" w:space="0" w:color="auto"/>
            </w:tcBorders>
          </w:tcPr>
          <w:p w14:paraId="2D453146" w14:textId="77777777" w:rsidR="00CA1B76" w:rsidRPr="00CA1B76" w:rsidRDefault="00CA1B76" w:rsidP="006413D0">
            <w:pPr>
              <w:pStyle w:val="Compact"/>
              <w:jc w:val="both"/>
              <w:rPr>
                <w:rFonts w:ascii="Times New Roman" w:hAnsi="Times New Roman" w:cs="Times New Roman"/>
              </w:rPr>
            </w:pPr>
            <w:r w:rsidRPr="00CA1B76">
              <w:rPr>
                <w:rFonts w:ascii="Times New Roman" w:hAnsi="Times New Roman" w:cs="Times New Roman"/>
              </w:rPr>
              <w:t>&lt;0.001</w:t>
            </w:r>
          </w:p>
        </w:tc>
        <w:tc>
          <w:tcPr>
            <w:tcW w:w="1584" w:type="dxa"/>
            <w:tcBorders>
              <w:bottom w:val="single" w:sz="4" w:space="0" w:color="auto"/>
            </w:tcBorders>
          </w:tcPr>
          <w:p w14:paraId="52800745" w14:textId="77777777" w:rsidR="00CA1B76" w:rsidRPr="00CA1B76" w:rsidRDefault="00CA1B76" w:rsidP="006413D0">
            <w:pPr>
              <w:pStyle w:val="Compact"/>
              <w:jc w:val="both"/>
              <w:rPr>
                <w:rFonts w:ascii="Times New Roman" w:hAnsi="Times New Roman" w:cs="Times New Roman"/>
              </w:rPr>
            </w:pPr>
            <w:r w:rsidRPr="00CA1B76">
              <w:rPr>
                <w:rFonts w:ascii="Times New Roman" w:hAnsi="Times New Roman" w:cs="Times New Roman"/>
              </w:rPr>
              <w:t>1.97 (1.89 to 2.04)</w:t>
            </w:r>
          </w:p>
        </w:tc>
        <w:tc>
          <w:tcPr>
            <w:tcW w:w="1584" w:type="dxa"/>
            <w:tcBorders>
              <w:bottom w:val="single" w:sz="4" w:space="0" w:color="auto"/>
            </w:tcBorders>
          </w:tcPr>
          <w:p w14:paraId="14A3CECA" w14:textId="77777777" w:rsidR="00CA1B76" w:rsidRPr="00CA1B76" w:rsidRDefault="00CA1B76" w:rsidP="006413D0">
            <w:pPr>
              <w:pStyle w:val="Compact"/>
              <w:jc w:val="both"/>
              <w:rPr>
                <w:rFonts w:ascii="Times New Roman" w:hAnsi="Times New Roman" w:cs="Times New Roman"/>
              </w:rPr>
            </w:pPr>
            <w:r w:rsidRPr="00CA1B76">
              <w:rPr>
                <w:rFonts w:ascii="Times New Roman" w:hAnsi="Times New Roman" w:cs="Times New Roman"/>
              </w:rPr>
              <w:t>&lt;0.001</w:t>
            </w:r>
          </w:p>
        </w:tc>
      </w:tr>
    </w:tbl>
    <w:p w14:paraId="33859A7A" w14:textId="77777777" w:rsidR="00CA1B76" w:rsidRPr="00CA1B76" w:rsidRDefault="00CA1B76" w:rsidP="006413D0">
      <w:pPr>
        <w:pStyle w:val="a0"/>
        <w:jc w:val="both"/>
        <w:rPr>
          <w:rFonts w:ascii="Times New Roman" w:hAnsi="Times New Roman" w:cs="Times New Roman"/>
        </w:rPr>
      </w:pPr>
    </w:p>
    <w:p w14:paraId="479EA4DC" w14:textId="77777777" w:rsidR="00CA1B76" w:rsidRPr="00CA1B76" w:rsidRDefault="00CA1B76" w:rsidP="006413D0">
      <w:pPr>
        <w:pStyle w:val="FirstParagraph"/>
        <w:jc w:val="both"/>
        <w:rPr>
          <w:rFonts w:ascii="Times New Roman" w:hAnsi="Times New Roman" w:cs="Times New Roman"/>
          <w:b/>
          <w:bCs/>
        </w:rPr>
      </w:pPr>
    </w:p>
    <w:p w14:paraId="5BBF4EF5" w14:textId="3B4949E7" w:rsidR="00B940BA" w:rsidRPr="00CA1B76" w:rsidRDefault="002C2741" w:rsidP="006413D0">
      <w:pPr>
        <w:pStyle w:val="FirstParagraph"/>
        <w:jc w:val="both"/>
        <w:rPr>
          <w:rFonts w:ascii="Times New Roman" w:hAnsi="Times New Roman" w:cs="Times New Roman"/>
        </w:rPr>
      </w:pPr>
      <w:r w:rsidRPr="00CA1B76">
        <w:rPr>
          <w:rFonts w:ascii="Times New Roman" w:hAnsi="Times New Roman" w:cs="Times New Roman"/>
          <w:b/>
          <w:bCs/>
        </w:rPr>
        <w:t xml:space="preserve">Supplementary Table </w:t>
      </w:r>
      <w:r w:rsidR="00CA1B76" w:rsidRPr="00CA1B76">
        <w:rPr>
          <w:rFonts w:ascii="Times New Roman" w:hAnsi="Times New Roman" w:cs="Times New Roman"/>
          <w:b/>
          <w:bCs/>
        </w:rPr>
        <w:t>6</w:t>
      </w:r>
      <w:r w:rsidRPr="00CA1B76">
        <w:rPr>
          <w:rFonts w:ascii="Times New Roman" w:hAnsi="Times New Roman" w:cs="Times New Roman"/>
          <w:b/>
          <w:bCs/>
        </w:rPr>
        <w:t>. Joinpoint-derived AAPC and segment-specific APC estimates for global prevalent LTBI case counts, 1990-2023.</w:t>
      </w:r>
    </w:p>
    <w:tbl>
      <w:tblPr>
        <w:tblStyle w:val="Table"/>
        <w:tblW w:w="0" w:type="auto"/>
        <w:tblLook w:val="0020" w:firstRow="1" w:lastRow="0" w:firstColumn="0" w:lastColumn="0" w:noHBand="0" w:noVBand="0"/>
      </w:tblPr>
      <w:tblGrid>
        <w:gridCol w:w="1306"/>
        <w:gridCol w:w="3556"/>
        <w:gridCol w:w="2149"/>
      </w:tblGrid>
      <w:tr w:rsidR="00B940BA" w:rsidRPr="00CA1B76" w14:paraId="4D5096F1" w14:textId="77777777" w:rsidTr="00CA1B76">
        <w:trPr>
          <w:cnfStyle w:val="100000000000" w:firstRow="1" w:lastRow="0" w:firstColumn="0" w:lastColumn="0" w:oddVBand="0" w:evenVBand="0" w:oddHBand="0" w:evenHBand="0" w:firstRowFirstColumn="0" w:firstRowLastColumn="0" w:lastRowFirstColumn="0" w:lastRowLastColumn="0"/>
          <w:tblHeader/>
        </w:trPr>
        <w:tc>
          <w:tcPr>
            <w:tcW w:w="0" w:type="auto"/>
            <w:tcBorders>
              <w:top w:val="single" w:sz="4" w:space="0" w:color="auto"/>
            </w:tcBorders>
          </w:tcPr>
          <w:p w14:paraId="5544EA37"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Year</w:t>
            </w:r>
          </w:p>
        </w:tc>
        <w:tc>
          <w:tcPr>
            <w:tcW w:w="0" w:type="auto"/>
            <w:tcBorders>
              <w:top w:val="single" w:sz="4" w:space="0" w:color="auto"/>
            </w:tcBorders>
          </w:tcPr>
          <w:p w14:paraId="4FDA1852"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Value_Prevalence</w:t>
            </w:r>
          </w:p>
        </w:tc>
        <w:tc>
          <w:tcPr>
            <w:tcW w:w="0" w:type="auto"/>
            <w:tcBorders>
              <w:top w:val="single" w:sz="4" w:space="0" w:color="auto"/>
            </w:tcBorders>
          </w:tcPr>
          <w:p w14:paraId="7CE3E18B"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p_value_Prevalence</w:t>
            </w:r>
          </w:p>
        </w:tc>
      </w:tr>
      <w:tr w:rsidR="00B940BA" w:rsidRPr="00CA1B76" w14:paraId="54E17ADE" w14:textId="77777777">
        <w:tc>
          <w:tcPr>
            <w:tcW w:w="0" w:type="auto"/>
          </w:tcPr>
          <w:p w14:paraId="27BB88B9"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1990~2023</w:t>
            </w:r>
          </w:p>
        </w:tc>
        <w:tc>
          <w:tcPr>
            <w:tcW w:w="0" w:type="auto"/>
          </w:tcPr>
          <w:p w14:paraId="6078EDA2"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0.48 (0.43~0.54), 0.48 (0.43~0.54)</w:t>
            </w:r>
          </w:p>
        </w:tc>
        <w:tc>
          <w:tcPr>
            <w:tcW w:w="0" w:type="auto"/>
          </w:tcPr>
          <w:p w14:paraId="1A41442F"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&lt;0.001, &lt;0.001</w:t>
            </w:r>
          </w:p>
        </w:tc>
      </w:tr>
      <w:tr w:rsidR="00B940BA" w:rsidRPr="00CA1B76" w14:paraId="5156F0D8" w14:textId="77777777">
        <w:tc>
          <w:tcPr>
            <w:tcW w:w="0" w:type="auto"/>
          </w:tcPr>
          <w:p w14:paraId="69336E8A"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1990~1999</w:t>
            </w:r>
          </w:p>
        </w:tc>
        <w:tc>
          <w:tcPr>
            <w:tcW w:w="0" w:type="auto"/>
          </w:tcPr>
          <w:p w14:paraId="75248071"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 xml:space="preserve">1.09 </w:t>
            </w:r>
            <w:r w:rsidRPr="00CA1B76">
              <w:rPr>
                <w:rFonts w:ascii="Times New Roman" w:hAnsi="Times New Roman" w:cs="Times New Roman"/>
              </w:rPr>
              <w:t>(1.01~1.18)</w:t>
            </w:r>
          </w:p>
        </w:tc>
        <w:tc>
          <w:tcPr>
            <w:tcW w:w="0" w:type="auto"/>
          </w:tcPr>
          <w:p w14:paraId="146066DD"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&lt;0.001</w:t>
            </w:r>
          </w:p>
        </w:tc>
      </w:tr>
      <w:tr w:rsidR="00B940BA" w:rsidRPr="00CA1B76" w14:paraId="05684208" w14:textId="77777777">
        <w:tc>
          <w:tcPr>
            <w:tcW w:w="0" w:type="auto"/>
          </w:tcPr>
          <w:p w14:paraId="0F627007"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lastRenderedPageBreak/>
              <w:t>1999~2019</w:t>
            </w:r>
          </w:p>
        </w:tc>
        <w:tc>
          <w:tcPr>
            <w:tcW w:w="0" w:type="auto"/>
          </w:tcPr>
          <w:p w14:paraId="4E70830D"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0.28 (0.20~0.35)</w:t>
            </w:r>
          </w:p>
        </w:tc>
        <w:tc>
          <w:tcPr>
            <w:tcW w:w="0" w:type="auto"/>
          </w:tcPr>
          <w:p w14:paraId="4D6060A4"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&lt;0.001</w:t>
            </w:r>
          </w:p>
        </w:tc>
      </w:tr>
      <w:tr w:rsidR="00B940BA" w:rsidRPr="00CA1B76" w14:paraId="7D01AFF6" w14:textId="77777777">
        <w:tc>
          <w:tcPr>
            <w:tcW w:w="0" w:type="auto"/>
          </w:tcPr>
          <w:p w14:paraId="0BB9E734"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2019~2023</w:t>
            </w:r>
          </w:p>
        </w:tc>
        <w:tc>
          <w:tcPr>
            <w:tcW w:w="0" w:type="auto"/>
          </w:tcPr>
          <w:p w14:paraId="75E77580"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0.15 (0.05~0.25)</w:t>
            </w:r>
          </w:p>
        </w:tc>
        <w:tc>
          <w:tcPr>
            <w:tcW w:w="0" w:type="auto"/>
          </w:tcPr>
          <w:p w14:paraId="4B93B7DE"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0.00</w:t>
            </w:r>
          </w:p>
        </w:tc>
      </w:tr>
      <w:tr w:rsidR="00B940BA" w:rsidRPr="00CA1B76" w14:paraId="1A8D1F3B" w14:textId="77777777" w:rsidTr="00CA1B76">
        <w:tc>
          <w:tcPr>
            <w:tcW w:w="0" w:type="auto"/>
            <w:tcBorders>
              <w:bottom w:val="single" w:sz="4" w:space="0" w:color="auto"/>
            </w:tcBorders>
          </w:tcPr>
          <w:p w14:paraId="44C87B49"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1990~2019</w:t>
            </w:r>
          </w:p>
        </w:tc>
        <w:tc>
          <w:tcPr>
            <w:tcW w:w="0" w:type="auto"/>
            <w:tcBorders>
              <w:bottom w:val="single" w:sz="4" w:space="0" w:color="auto"/>
            </w:tcBorders>
          </w:tcPr>
          <w:p w14:paraId="5A2E705E"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0.53 (0.47~0.59)</w:t>
            </w:r>
          </w:p>
        </w:tc>
        <w:tc>
          <w:tcPr>
            <w:tcW w:w="0" w:type="auto"/>
            <w:tcBorders>
              <w:bottom w:val="single" w:sz="4" w:space="0" w:color="auto"/>
            </w:tcBorders>
          </w:tcPr>
          <w:p w14:paraId="42999F9D"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&lt;0.001</w:t>
            </w:r>
          </w:p>
        </w:tc>
      </w:tr>
    </w:tbl>
    <w:p w14:paraId="4EA7E450" w14:textId="05A5005C" w:rsidR="00CA1B76" w:rsidRPr="00CA1B76" w:rsidRDefault="00CA1B76" w:rsidP="006413D0">
      <w:pPr>
        <w:spacing w:before="180" w:after="180"/>
        <w:jc w:val="both"/>
        <w:rPr>
          <w:rFonts w:ascii="Times New Roman" w:eastAsia="等线" w:hAnsi="Times New Roman" w:cs="Times New Roman"/>
        </w:rPr>
      </w:pPr>
      <w:bookmarkStart w:id="1" w:name="OLE_LINK4"/>
      <w:r w:rsidRPr="00CA1B76">
        <w:rPr>
          <w:rFonts w:ascii="Times New Roman" w:eastAsia="等线" w:hAnsi="Times New Roman" w:cs="Times New Roman"/>
          <w:b/>
          <w:bCs/>
        </w:rPr>
        <w:t>Supplementary Table 7. Fine-age sensitivity profile for global LTBI prevalent cases under equal within-band prevalence allocation.</w:t>
      </w:r>
    </w:p>
    <w:tbl>
      <w:tblPr>
        <w:tblStyle w:val="Table1"/>
        <w:tblW w:w="5000" w:type="pct"/>
        <w:tblInd w:w="0" w:type="dxa"/>
        <w:tblLayout w:type="fixed"/>
        <w:tblLook w:val="0020" w:firstRow="1" w:lastRow="0" w:firstColumn="0" w:lastColumn="0" w:noHBand="0" w:noVBand="0"/>
      </w:tblPr>
      <w:tblGrid>
        <w:gridCol w:w="1266"/>
        <w:gridCol w:w="1265"/>
        <w:gridCol w:w="1265"/>
        <w:gridCol w:w="1265"/>
        <w:gridCol w:w="1265"/>
        <w:gridCol w:w="1265"/>
        <w:gridCol w:w="1265"/>
      </w:tblGrid>
      <w:tr w:rsidR="00CA1B76" w:rsidRPr="00CA1B76" w14:paraId="6DFA7A1D" w14:textId="77777777" w:rsidTr="00CA1B76">
        <w:trPr>
          <w:cnfStyle w:val="100000000000" w:firstRow="1" w:lastRow="0" w:firstColumn="0" w:lastColumn="0" w:oddVBand="0" w:evenVBand="0" w:oddHBand="0" w:evenHBand="0" w:firstRowFirstColumn="0" w:firstRowLastColumn="0" w:lastRowFirstColumn="0" w:lastRowLastColumn="0"/>
          <w:tblHeader/>
        </w:trPr>
        <w:tc>
          <w:tcPr>
            <w:tcW w:w="1131" w:type="dxa"/>
            <w:tcBorders>
              <w:top w:val="single" w:sz="4" w:space="0" w:color="auto"/>
              <w:left w:val="nil"/>
              <w:right w:val="nil"/>
            </w:tcBorders>
            <w:hideMark/>
          </w:tcPr>
          <w:p w14:paraId="19EEC2E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Source</w:t>
            </w:r>
          </w:p>
        </w:tc>
        <w:tc>
          <w:tcPr>
            <w:tcW w:w="1131" w:type="dxa"/>
            <w:tcBorders>
              <w:top w:val="single" w:sz="4" w:space="0" w:color="auto"/>
              <w:left w:val="nil"/>
              <w:right w:val="nil"/>
            </w:tcBorders>
            <w:hideMark/>
          </w:tcPr>
          <w:p w14:paraId="77B70834"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Year</w:t>
            </w:r>
          </w:p>
        </w:tc>
        <w:tc>
          <w:tcPr>
            <w:tcW w:w="1131" w:type="dxa"/>
            <w:tcBorders>
              <w:top w:val="single" w:sz="4" w:space="0" w:color="auto"/>
              <w:left w:val="nil"/>
              <w:right w:val="nil"/>
            </w:tcBorders>
            <w:hideMark/>
          </w:tcPr>
          <w:p w14:paraId="43C2A44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Fine age group</w:t>
            </w:r>
          </w:p>
        </w:tc>
        <w:tc>
          <w:tcPr>
            <w:tcW w:w="1131" w:type="dxa"/>
            <w:tcBorders>
              <w:top w:val="single" w:sz="4" w:space="0" w:color="auto"/>
              <w:left w:val="nil"/>
              <w:right w:val="nil"/>
            </w:tcBorders>
            <w:hideMark/>
          </w:tcPr>
          <w:p w14:paraId="1D244B13"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Population (million)</w:t>
            </w:r>
          </w:p>
        </w:tc>
        <w:tc>
          <w:tcPr>
            <w:tcW w:w="1131" w:type="dxa"/>
            <w:tcBorders>
              <w:top w:val="single" w:sz="4" w:space="0" w:color="auto"/>
              <w:left w:val="nil"/>
              <w:right w:val="nil"/>
            </w:tcBorders>
            <w:hideMark/>
          </w:tcPr>
          <w:p w14:paraId="1460DC3D"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Prevalence per 100,000</w:t>
            </w:r>
          </w:p>
        </w:tc>
        <w:tc>
          <w:tcPr>
            <w:tcW w:w="1131" w:type="dxa"/>
            <w:tcBorders>
              <w:top w:val="single" w:sz="4" w:space="0" w:color="auto"/>
              <w:left w:val="nil"/>
              <w:right w:val="nil"/>
            </w:tcBorders>
            <w:hideMark/>
          </w:tcPr>
          <w:p w14:paraId="62EDDCCF"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Cases (million)</w:t>
            </w:r>
          </w:p>
        </w:tc>
        <w:tc>
          <w:tcPr>
            <w:tcW w:w="1131" w:type="dxa"/>
            <w:tcBorders>
              <w:top w:val="single" w:sz="4" w:space="0" w:color="auto"/>
              <w:left w:val="nil"/>
              <w:right w:val="nil"/>
            </w:tcBorders>
            <w:hideMark/>
          </w:tcPr>
          <w:p w14:paraId="5A3CEA6F"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Case share (%)</w:t>
            </w:r>
          </w:p>
        </w:tc>
      </w:tr>
      <w:tr w:rsidR="00CA1B76" w:rsidRPr="00CA1B76" w14:paraId="45556409" w14:textId="77777777">
        <w:tc>
          <w:tcPr>
            <w:tcW w:w="1131" w:type="dxa"/>
            <w:hideMark/>
          </w:tcPr>
          <w:p w14:paraId="3D2BA9EA"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GBD observed</w:t>
            </w:r>
          </w:p>
        </w:tc>
        <w:tc>
          <w:tcPr>
            <w:tcW w:w="1131" w:type="dxa"/>
            <w:hideMark/>
          </w:tcPr>
          <w:p w14:paraId="4F2247C1"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1990</w:t>
            </w:r>
          </w:p>
        </w:tc>
        <w:tc>
          <w:tcPr>
            <w:tcW w:w="1131" w:type="dxa"/>
            <w:hideMark/>
          </w:tcPr>
          <w:p w14:paraId="71279778"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&lt;20</w:t>
            </w:r>
          </w:p>
        </w:tc>
        <w:tc>
          <w:tcPr>
            <w:tcW w:w="1131" w:type="dxa"/>
            <w:hideMark/>
          </w:tcPr>
          <w:p w14:paraId="16EAC710"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2265.31</w:t>
            </w:r>
          </w:p>
        </w:tc>
        <w:tc>
          <w:tcPr>
            <w:tcW w:w="1131" w:type="dxa"/>
            <w:hideMark/>
          </w:tcPr>
          <w:p w14:paraId="47E37D04"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22956.97</w:t>
            </w:r>
          </w:p>
        </w:tc>
        <w:tc>
          <w:tcPr>
            <w:tcW w:w="1131" w:type="dxa"/>
            <w:hideMark/>
          </w:tcPr>
          <w:p w14:paraId="7D3FD1E0"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520.05</w:t>
            </w:r>
          </w:p>
        </w:tc>
        <w:tc>
          <w:tcPr>
            <w:tcW w:w="1131" w:type="dxa"/>
            <w:hideMark/>
          </w:tcPr>
          <w:p w14:paraId="14636CE6"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32.9</w:t>
            </w:r>
          </w:p>
        </w:tc>
      </w:tr>
      <w:tr w:rsidR="00CA1B76" w:rsidRPr="00CA1B76" w14:paraId="5B5F6B30" w14:textId="77777777">
        <w:tc>
          <w:tcPr>
            <w:tcW w:w="1131" w:type="dxa"/>
            <w:hideMark/>
          </w:tcPr>
          <w:p w14:paraId="77EB74BF"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GBD observed</w:t>
            </w:r>
          </w:p>
        </w:tc>
        <w:tc>
          <w:tcPr>
            <w:tcW w:w="1131" w:type="dxa"/>
            <w:hideMark/>
          </w:tcPr>
          <w:p w14:paraId="1EEACE88"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1990</w:t>
            </w:r>
          </w:p>
        </w:tc>
        <w:tc>
          <w:tcPr>
            <w:tcW w:w="1131" w:type="dxa"/>
            <w:hideMark/>
          </w:tcPr>
          <w:p w14:paraId="3101F6B9"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20-39</w:t>
            </w:r>
          </w:p>
        </w:tc>
        <w:tc>
          <w:tcPr>
            <w:tcW w:w="1131" w:type="dxa"/>
            <w:hideMark/>
          </w:tcPr>
          <w:p w14:paraId="3362DD57"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1656.31</w:t>
            </w:r>
          </w:p>
        </w:tc>
        <w:tc>
          <w:tcPr>
            <w:tcW w:w="1131" w:type="dxa"/>
            <w:hideMark/>
          </w:tcPr>
          <w:p w14:paraId="72D22D0B"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35482.45</w:t>
            </w:r>
          </w:p>
        </w:tc>
        <w:tc>
          <w:tcPr>
            <w:tcW w:w="1131" w:type="dxa"/>
            <w:hideMark/>
          </w:tcPr>
          <w:p w14:paraId="0416E20E"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587.70</w:t>
            </w:r>
          </w:p>
        </w:tc>
        <w:tc>
          <w:tcPr>
            <w:tcW w:w="1131" w:type="dxa"/>
            <w:hideMark/>
          </w:tcPr>
          <w:p w14:paraId="7CEAEBA7"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37.2</w:t>
            </w:r>
          </w:p>
        </w:tc>
      </w:tr>
      <w:tr w:rsidR="00CA1B76" w:rsidRPr="00CA1B76" w14:paraId="3DD57058" w14:textId="77777777">
        <w:tc>
          <w:tcPr>
            <w:tcW w:w="1131" w:type="dxa"/>
            <w:hideMark/>
          </w:tcPr>
          <w:p w14:paraId="76A004A6"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GBD observed</w:t>
            </w:r>
          </w:p>
        </w:tc>
        <w:tc>
          <w:tcPr>
            <w:tcW w:w="1131" w:type="dxa"/>
            <w:hideMark/>
          </w:tcPr>
          <w:p w14:paraId="73DF49F0"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1990</w:t>
            </w:r>
          </w:p>
        </w:tc>
        <w:tc>
          <w:tcPr>
            <w:tcW w:w="1131" w:type="dxa"/>
            <w:hideMark/>
          </w:tcPr>
          <w:p w14:paraId="58248348"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40-54</w:t>
            </w:r>
          </w:p>
        </w:tc>
        <w:tc>
          <w:tcPr>
            <w:tcW w:w="1131" w:type="dxa"/>
            <w:hideMark/>
          </w:tcPr>
          <w:p w14:paraId="0BCD4E2E"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713.27</w:t>
            </w:r>
          </w:p>
        </w:tc>
        <w:tc>
          <w:tcPr>
            <w:tcW w:w="1131" w:type="dxa"/>
            <w:hideMark/>
          </w:tcPr>
          <w:p w14:paraId="5E3CF933"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35482.45</w:t>
            </w:r>
          </w:p>
        </w:tc>
        <w:tc>
          <w:tcPr>
            <w:tcW w:w="1131" w:type="dxa"/>
            <w:hideMark/>
          </w:tcPr>
          <w:p w14:paraId="64310619"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253.09</w:t>
            </w:r>
          </w:p>
        </w:tc>
        <w:tc>
          <w:tcPr>
            <w:tcW w:w="1131" w:type="dxa"/>
            <w:hideMark/>
          </w:tcPr>
          <w:p w14:paraId="47C3CE7D"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16.0</w:t>
            </w:r>
          </w:p>
        </w:tc>
      </w:tr>
      <w:tr w:rsidR="00CA1B76" w:rsidRPr="00CA1B76" w14:paraId="606E7E71" w14:textId="77777777">
        <w:tc>
          <w:tcPr>
            <w:tcW w:w="1131" w:type="dxa"/>
            <w:hideMark/>
          </w:tcPr>
          <w:p w14:paraId="4043BF21"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GBD observed</w:t>
            </w:r>
          </w:p>
        </w:tc>
        <w:tc>
          <w:tcPr>
            <w:tcW w:w="1131" w:type="dxa"/>
            <w:hideMark/>
          </w:tcPr>
          <w:p w14:paraId="020822B1"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1990</w:t>
            </w:r>
          </w:p>
        </w:tc>
        <w:tc>
          <w:tcPr>
            <w:tcW w:w="1131" w:type="dxa"/>
            <w:hideMark/>
          </w:tcPr>
          <w:p w14:paraId="0D27A1A4"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55-69</w:t>
            </w:r>
          </w:p>
        </w:tc>
        <w:tc>
          <w:tcPr>
            <w:tcW w:w="1131" w:type="dxa"/>
            <w:hideMark/>
          </w:tcPr>
          <w:p w14:paraId="4470D30B"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460.13</w:t>
            </w:r>
          </w:p>
        </w:tc>
        <w:tc>
          <w:tcPr>
            <w:tcW w:w="1131" w:type="dxa"/>
            <w:hideMark/>
          </w:tcPr>
          <w:p w14:paraId="375D1BE3"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33051.20</w:t>
            </w:r>
          </w:p>
        </w:tc>
        <w:tc>
          <w:tcPr>
            <w:tcW w:w="1131" w:type="dxa"/>
            <w:hideMark/>
          </w:tcPr>
          <w:p w14:paraId="0A03A84A"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152.08</w:t>
            </w:r>
          </w:p>
        </w:tc>
        <w:tc>
          <w:tcPr>
            <w:tcW w:w="1131" w:type="dxa"/>
            <w:hideMark/>
          </w:tcPr>
          <w:p w14:paraId="495BC3AC"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9.6</w:t>
            </w:r>
          </w:p>
        </w:tc>
      </w:tr>
      <w:tr w:rsidR="00CA1B76" w:rsidRPr="00CA1B76" w14:paraId="621EBED2" w14:textId="77777777">
        <w:tc>
          <w:tcPr>
            <w:tcW w:w="1131" w:type="dxa"/>
            <w:hideMark/>
          </w:tcPr>
          <w:p w14:paraId="09F5908B"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GBD observed</w:t>
            </w:r>
          </w:p>
        </w:tc>
        <w:tc>
          <w:tcPr>
            <w:tcW w:w="1131" w:type="dxa"/>
            <w:hideMark/>
          </w:tcPr>
          <w:p w14:paraId="2CB6CFA8"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1990</w:t>
            </w:r>
          </w:p>
        </w:tc>
        <w:tc>
          <w:tcPr>
            <w:tcW w:w="1131" w:type="dxa"/>
            <w:hideMark/>
          </w:tcPr>
          <w:p w14:paraId="7C492B7B"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70+</w:t>
            </w:r>
          </w:p>
        </w:tc>
        <w:tc>
          <w:tcPr>
            <w:tcW w:w="1131" w:type="dxa"/>
            <w:hideMark/>
          </w:tcPr>
          <w:p w14:paraId="1E160A84"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198.32</w:t>
            </w:r>
          </w:p>
        </w:tc>
        <w:tc>
          <w:tcPr>
            <w:tcW w:w="1131" w:type="dxa"/>
            <w:hideMark/>
          </w:tcPr>
          <w:p w14:paraId="4E9E351B"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33051.20</w:t>
            </w:r>
          </w:p>
        </w:tc>
        <w:tc>
          <w:tcPr>
            <w:tcW w:w="1131" w:type="dxa"/>
            <w:hideMark/>
          </w:tcPr>
          <w:p w14:paraId="26682DC5"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65.55</w:t>
            </w:r>
          </w:p>
        </w:tc>
        <w:tc>
          <w:tcPr>
            <w:tcW w:w="1131" w:type="dxa"/>
            <w:hideMark/>
          </w:tcPr>
          <w:p w14:paraId="05B093B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4.2</w:t>
            </w:r>
          </w:p>
        </w:tc>
      </w:tr>
      <w:tr w:rsidR="00CA1B76" w:rsidRPr="00CA1B76" w14:paraId="22A8BE82" w14:textId="77777777">
        <w:tc>
          <w:tcPr>
            <w:tcW w:w="1131" w:type="dxa"/>
            <w:hideMark/>
          </w:tcPr>
          <w:p w14:paraId="508B701B"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GBD observed</w:t>
            </w:r>
          </w:p>
        </w:tc>
        <w:tc>
          <w:tcPr>
            <w:tcW w:w="1131" w:type="dxa"/>
            <w:hideMark/>
          </w:tcPr>
          <w:p w14:paraId="10589247"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2023</w:t>
            </w:r>
          </w:p>
        </w:tc>
        <w:tc>
          <w:tcPr>
            <w:tcW w:w="1131" w:type="dxa"/>
            <w:hideMark/>
          </w:tcPr>
          <w:p w14:paraId="30F078CC"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&lt;20</w:t>
            </w:r>
          </w:p>
        </w:tc>
        <w:tc>
          <w:tcPr>
            <w:tcW w:w="1131" w:type="dxa"/>
            <w:hideMark/>
          </w:tcPr>
          <w:p w14:paraId="1456FD2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2660.06</w:t>
            </w:r>
          </w:p>
        </w:tc>
        <w:tc>
          <w:tcPr>
            <w:tcW w:w="1131" w:type="dxa"/>
            <w:hideMark/>
          </w:tcPr>
          <w:p w14:paraId="6839BEB7"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15684.74</w:t>
            </w:r>
          </w:p>
        </w:tc>
        <w:tc>
          <w:tcPr>
            <w:tcW w:w="1131" w:type="dxa"/>
            <w:hideMark/>
          </w:tcPr>
          <w:p w14:paraId="0A56699F"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417.22</w:t>
            </w:r>
          </w:p>
        </w:tc>
        <w:tc>
          <w:tcPr>
            <w:tcW w:w="1131" w:type="dxa"/>
            <w:hideMark/>
          </w:tcPr>
          <w:p w14:paraId="301EA4E5"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22.2</w:t>
            </w:r>
          </w:p>
        </w:tc>
      </w:tr>
      <w:tr w:rsidR="00CA1B76" w:rsidRPr="00CA1B76" w14:paraId="52975FF2" w14:textId="77777777">
        <w:tc>
          <w:tcPr>
            <w:tcW w:w="1131" w:type="dxa"/>
            <w:hideMark/>
          </w:tcPr>
          <w:p w14:paraId="3EA1487C"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GBD observed</w:t>
            </w:r>
          </w:p>
        </w:tc>
        <w:tc>
          <w:tcPr>
            <w:tcW w:w="1131" w:type="dxa"/>
            <w:hideMark/>
          </w:tcPr>
          <w:p w14:paraId="4C668CEC"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2023</w:t>
            </w:r>
          </w:p>
        </w:tc>
        <w:tc>
          <w:tcPr>
            <w:tcW w:w="1131" w:type="dxa"/>
            <w:hideMark/>
          </w:tcPr>
          <w:p w14:paraId="15390557"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20-39</w:t>
            </w:r>
          </w:p>
        </w:tc>
        <w:tc>
          <w:tcPr>
            <w:tcW w:w="1131" w:type="dxa"/>
            <w:hideMark/>
          </w:tcPr>
          <w:p w14:paraId="478E98A5"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2396.26</w:t>
            </w:r>
          </w:p>
        </w:tc>
        <w:tc>
          <w:tcPr>
            <w:tcW w:w="1131" w:type="dxa"/>
            <w:hideMark/>
          </w:tcPr>
          <w:p w14:paraId="4482DB11"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27129.43</w:t>
            </w:r>
          </w:p>
        </w:tc>
        <w:tc>
          <w:tcPr>
            <w:tcW w:w="1131" w:type="dxa"/>
            <w:hideMark/>
          </w:tcPr>
          <w:p w14:paraId="6B1AEEF1"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650.09</w:t>
            </w:r>
          </w:p>
        </w:tc>
        <w:tc>
          <w:tcPr>
            <w:tcW w:w="1131" w:type="dxa"/>
            <w:hideMark/>
          </w:tcPr>
          <w:p w14:paraId="034D969B"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34.7</w:t>
            </w:r>
          </w:p>
        </w:tc>
      </w:tr>
      <w:tr w:rsidR="00CA1B76" w:rsidRPr="00CA1B76" w14:paraId="02A4C146" w14:textId="77777777">
        <w:tc>
          <w:tcPr>
            <w:tcW w:w="1131" w:type="dxa"/>
            <w:hideMark/>
          </w:tcPr>
          <w:p w14:paraId="1448A421"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GBD observed</w:t>
            </w:r>
          </w:p>
        </w:tc>
        <w:tc>
          <w:tcPr>
            <w:tcW w:w="1131" w:type="dxa"/>
            <w:hideMark/>
          </w:tcPr>
          <w:p w14:paraId="41CD4EF8"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2023</w:t>
            </w:r>
          </w:p>
        </w:tc>
        <w:tc>
          <w:tcPr>
            <w:tcW w:w="1131" w:type="dxa"/>
            <w:hideMark/>
          </w:tcPr>
          <w:p w14:paraId="7C5B56C8"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40-54</w:t>
            </w:r>
          </w:p>
        </w:tc>
        <w:tc>
          <w:tcPr>
            <w:tcW w:w="1131" w:type="dxa"/>
            <w:hideMark/>
          </w:tcPr>
          <w:p w14:paraId="571D3CED"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1451.42</w:t>
            </w:r>
          </w:p>
        </w:tc>
        <w:tc>
          <w:tcPr>
            <w:tcW w:w="1131" w:type="dxa"/>
            <w:hideMark/>
          </w:tcPr>
          <w:p w14:paraId="17B73D1F"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27129.43</w:t>
            </w:r>
          </w:p>
        </w:tc>
        <w:tc>
          <w:tcPr>
            <w:tcW w:w="1131" w:type="dxa"/>
            <w:hideMark/>
          </w:tcPr>
          <w:p w14:paraId="6BB08CC0"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393.76</w:t>
            </w:r>
          </w:p>
        </w:tc>
        <w:tc>
          <w:tcPr>
            <w:tcW w:w="1131" w:type="dxa"/>
            <w:hideMark/>
          </w:tcPr>
          <w:p w14:paraId="6F148E5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21.0</w:t>
            </w:r>
          </w:p>
        </w:tc>
      </w:tr>
      <w:tr w:rsidR="00CA1B76" w:rsidRPr="00CA1B76" w14:paraId="6512FDB6" w14:textId="77777777">
        <w:tc>
          <w:tcPr>
            <w:tcW w:w="1131" w:type="dxa"/>
            <w:hideMark/>
          </w:tcPr>
          <w:p w14:paraId="05975A0C"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GBD observed</w:t>
            </w:r>
          </w:p>
        </w:tc>
        <w:tc>
          <w:tcPr>
            <w:tcW w:w="1131" w:type="dxa"/>
            <w:hideMark/>
          </w:tcPr>
          <w:p w14:paraId="1A663A0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2023</w:t>
            </w:r>
          </w:p>
        </w:tc>
        <w:tc>
          <w:tcPr>
            <w:tcW w:w="1131" w:type="dxa"/>
            <w:hideMark/>
          </w:tcPr>
          <w:p w14:paraId="5ECC194F"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55-69</w:t>
            </w:r>
          </w:p>
        </w:tc>
        <w:tc>
          <w:tcPr>
            <w:tcW w:w="1131" w:type="dxa"/>
            <w:hideMark/>
          </w:tcPr>
          <w:p w14:paraId="56F3DE4D"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1033.24</w:t>
            </w:r>
          </w:p>
        </w:tc>
        <w:tc>
          <w:tcPr>
            <w:tcW w:w="1131" w:type="dxa"/>
            <w:hideMark/>
          </w:tcPr>
          <w:p w14:paraId="64A41606"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26742.99</w:t>
            </w:r>
          </w:p>
        </w:tc>
        <w:tc>
          <w:tcPr>
            <w:tcW w:w="1131" w:type="dxa"/>
            <w:hideMark/>
          </w:tcPr>
          <w:p w14:paraId="05EDCD28"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276.32</w:t>
            </w:r>
          </w:p>
        </w:tc>
        <w:tc>
          <w:tcPr>
            <w:tcW w:w="1131" w:type="dxa"/>
            <w:hideMark/>
          </w:tcPr>
          <w:p w14:paraId="0EE43D5E"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14.7</w:t>
            </w:r>
          </w:p>
        </w:tc>
      </w:tr>
      <w:tr w:rsidR="00CA1B76" w:rsidRPr="00CA1B76" w14:paraId="4E4D8555" w14:textId="77777777">
        <w:tc>
          <w:tcPr>
            <w:tcW w:w="1131" w:type="dxa"/>
            <w:hideMark/>
          </w:tcPr>
          <w:p w14:paraId="249C22A9"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GBD observed</w:t>
            </w:r>
          </w:p>
        </w:tc>
        <w:tc>
          <w:tcPr>
            <w:tcW w:w="1131" w:type="dxa"/>
            <w:hideMark/>
          </w:tcPr>
          <w:p w14:paraId="14EA645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2023</w:t>
            </w:r>
          </w:p>
        </w:tc>
        <w:tc>
          <w:tcPr>
            <w:tcW w:w="1131" w:type="dxa"/>
            <w:hideMark/>
          </w:tcPr>
          <w:p w14:paraId="7F1756BB"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70+</w:t>
            </w:r>
          </w:p>
        </w:tc>
        <w:tc>
          <w:tcPr>
            <w:tcW w:w="1131" w:type="dxa"/>
            <w:hideMark/>
          </w:tcPr>
          <w:p w14:paraId="3D6745EF"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516.04</w:t>
            </w:r>
          </w:p>
        </w:tc>
        <w:tc>
          <w:tcPr>
            <w:tcW w:w="1131" w:type="dxa"/>
            <w:hideMark/>
          </w:tcPr>
          <w:p w14:paraId="3DF2C15C"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26742.99</w:t>
            </w:r>
          </w:p>
        </w:tc>
        <w:tc>
          <w:tcPr>
            <w:tcW w:w="1131" w:type="dxa"/>
            <w:hideMark/>
          </w:tcPr>
          <w:p w14:paraId="24F0B09A"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138.01</w:t>
            </w:r>
          </w:p>
        </w:tc>
        <w:tc>
          <w:tcPr>
            <w:tcW w:w="1131" w:type="dxa"/>
            <w:hideMark/>
          </w:tcPr>
          <w:p w14:paraId="40B3D70B"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7.4</w:t>
            </w:r>
          </w:p>
        </w:tc>
      </w:tr>
      <w:tr w:rsidR="00CA1B76" w:rsidRPr="00CA1B76" w14:paraId="15BE1509" w14:textId="77777777">
        <w:tc>
          <w:tcPr>
            <w:tcW w:w="1131" w:type="dxa"/>
            <w:hideMark/>
          </w:tcPr>
          <w:p w14:paraId="0F00DA89"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APC projected</w:t>
            </w:r>
          </w:p>
        </w:tc>
        <w:tc>
          <w:tcPr>
            <w:tcW w:w="1131" w:type="dxa"/>
            <w:hideMark/>
          </w:tcPr>
          <w:p w14:paraId="2ECC6647"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2024</w:t>
            </w:r>
          </w:p>
        </w:tc>
        <w:tc>
          <w:tcPr>
            <w:tcW w:w="1131" w:type="dxa"/>
            <w:hideMark/>
          </w:tcPr>
          <w:p w14:paraId="727C8795"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&lt;20</w:t>
            </w:r>
          </w:p>
        </w:tc>
        <w:tc>
          <w:tcPr>
            <w:tcW w:w="1131" w:type="dxa"/>
            <w:hideMark/>
          </w:tcPr>
          <w:p w14:paraId="2E6A5E8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2660.29</w:t>
            </w:r>
          </w:p>
        </w:tc>
        <w:tc>
          <w:tcPr>
            <w:tcW w:w="1131" w:type="dxa"/>
            <w:hideMark/>
          </w:tcPr>
          <w:p w14:paraId="41B872F9"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15796.22</w:t>
            </w:r>
          </w:p>
        </w:tc>
        <w:tc>
          <w:tcPr>
            <w:tcW w:w="1131" w:type="dxa"/>
            <w:hideMark/>
          </w:tcPr>
          <w:p w14:paraId="5C1F9AD0"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420.23</w:t>
            </w:r>
          </w:p>
        </w:tc>
        <w:tc>
          <w:tcPr>
            <w:tcW w:w="1131" w:type="dxa"/>
            <w:hideMark/>
          </w:tcPr>
          <w:p w14:paraId="43830E08"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22.4</w:t>
            </w:r>
          </w:p>
        </w:tc>
      </w:tr>
      <w:tr w:rsidR="00CA1B76" w:rsidRPr="00CA1B76" w14:paraId="52F44149" w14:textId="77777777">
        <w:tc>
          <w:tcPr>
            <w:tcW w:w="1131" w:type="dxa"/>
            <w:hideMark/>
          </w:tcPr>
          <w:p w14:paraId="3839C2BA"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APC projected</w:t>
            </w:r>
          </w:p>
        </w:tc>
        <w:tc>
          <w:tcPr>
            <w:tcW w:w="1131" w:type="dxa"/>
            <w:hideMark/>
          </w:tcPr>
          <w:p w14:paraId="1AF025DA"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2024</w:t>
            </w:r>
          </w:p>
        </w:tc>
        <w:tc>
          <w:tcPr>
            <w:tcW w:w="1131" w:type="dxa"/>
            <w:hideMark/>
          </w:tcPr>
          <w:p w14:paraId="09E8CC3A"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20-39</w:t>
            </w:r>
          </w:p>
        </w:tc>
        <w:tc>
          <w:tcPr>
            <w:tcW w:w="1131" w:type="dxa"/>
            <w:hideMark/>
          </w:tcPr>
          <w:p w14:paraId="42EF911B"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2407.07</w:t>
            </w:r>
          </w:p>
        </w:tc>
        <w:tc>
          <w:tcPr>
            <w:tcW w:w="1131" w:type="dxa"/>
            <w:hideMark/>
          </w:tcPr>
          <w:p w14:paraId="7B9E8FF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27071.91</w:t>
            </w:r>
          </w:p>
        </w:tc>
        <w:tc>
          <w:tcPr>
            <w:tcW w:w="1131" w:type="dxa"/>
            <w:hideMark/>
          </w:tcPr>
          <w:p w14:paraId="0D0540A3"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651.64</w:t>
            </w:r>
          </w:p>
        </w:tc>
        <w:tc>
          <w:tcPr>
            <w:tcW w:w="1131" w:type="dxa"/>
            <w:hideMark/>
          </w:tcPr>
          <w:p w14:paraId="1D8D5B4C"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34.7</w:t>
            </w:r>
          </w:p>
        </w:tc>
      </w:tr>
      <w:tr w:rsidR="00CA1B76" w:rsidRPr="00CA1B76" w14:paraId="13B9F83E" w14:textId="77777777">
        <w:tc>
          <w:tcPr>
            <w:tcW w:w="1131" w:type="dxa"/>
            <w:hideMark/>
          </w:tcPr>
          <w:p w14:paraId="7F795CB7"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APC projected</w:t>
            </w:r>
          </w:p>
        </w:tc>
        <w:tc>
          <w:tcPr>
            <w:tcW w:w="1131" w:type="dxa"/>
            <w:hideMark/>
          </w:tcPr>
          <w:p w14:paraId="6DE6D875"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2024</w:t>
            </w:r>
          </w:p>
        </w:tc>
        <w:tc>
          <w:tcPr>
            <w:tcW w:w="1131" w:type="dxa"/>
            <w:hideMark/>
          </w:tcPr>
          <w:p w14:paraId="4C0AE3A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40-54</w:t>
            </w:r>
          </w:p>
        </w:tc>
        <w:tc>
          <w:tcPr>
            <w:tcW w:w="1131" w:type="dxa"/>
            <w:hideMark/>
          </w:tcPr>
          <w:p w14:paraId="58CBA3AE"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1466.93</w:t>
            </w:r>
          </w:p>
        </w:tc>
        <w:tc>
          <w:tcPr>
            <w:tcW w:w="1131" w:type="dxa"/>
            <w:hideMark/>
          </w:tcPr>
          <w:p w14:paraId="17531E49"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27071.91</w:t>
            </w:r>
          </w:p>
        </w:tc>
        <w:tc>
          <w:tcPr>
            <w:tcW w:w="1131" w:type="dxa"/>
            <w:hideMark/>
          </w:tcPr>
          <w:p w14:paraId="6ABD825A"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397.13</w:t>
            </w:r>
          </w:p>
        </w:tc>
        <w:tc>
          <w:tcPr>
            <w:tcW w:w="1131" w:type="dxa"/>
            <w:hideMark/>
          </w:tcPr>
          <w:p w14:paraId="033E9A81"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21.1</w:t>
            </w:r>
          </w:p>
        </w:tc>
      </w:tr>
      <w:tr w:rsidR="00CA1B76" w:rsidRPr="00CA1B76" w14:paraId="4232EA38" w14:textId="77777777">
        <w:tc>
          <w:tcPr>
            <w:tcW w:w="1131" w:type="dxa"/>
            <w:hideMark/>
          </w:tcPr>
          <w:p w14:paraId="607530E6"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APC projected</w:t>
            </w:r>
          </w:p>
        </w:tc>
        <w:tc>
          <w:tcPr>
            <w:tcW w:w="1131" w:type="dxa"/>
            <w:hideMark/>
          </w:tcPr>
          <w:p w14:paraId="0AE1D840"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2024</w:t>
            </w:r>
          </w:p>
        </w:tc>
        <w:tc>
          <w:tcPr>
            <w:tcW w:w="1131" w:type="dxa"/>
            <w:hideMark/>
          </w:tcPr>
          <w:p w14:paraId="1531C9EC"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55-69</w:t>
            </w:r>
          </w:p>
        </w:tc>
        <w:tc>
          <w:tcPr>
            <w:tcW w:w="1131" w:type="dxa"/>
            <w:hideMark/>
          </w:tcPr>
          <w:p w14:paraId="321C1ED4"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1056.45</w:t>
            </w:r>
          </w:p>
        </w:tc>
        <w:tc>
          <w:tcPr>
            <w:tcW w:w="1131" w:type="dxa"/>
            <w:hideMark/>
          </w:tcPr>
          <w:p w14:paraId="7BD7786A"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25778.17</w:t>
            </w:r>
          </w:p>
        </w:tc>
        <w:tc>
          <w:tcPr>
            <w:tcW w:w="1131" w:type="dxa"/>
            <w:hideMark/>
          </w:tcPr>
          <w:p w14:paraId="14336CB4"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272.33</w:t>
            </w:r>
          </w:p>
        </w:tc>
        <w:tc>
          <w:tcPr>
            <w:tcW w:w="1131" w:type="dxa"/>
            <w:hideMark/>
          </w:tcPr>
          <w:p w14:paraId="13DDE1FA"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14.5</w:t>
            </w:r>
          </w:p>
        </w:tc>
      </w:tr>
      <w:tr w:rsidR="00CA1B76" w:rsidRPr="00CA1B76" w14:paraId="56C95D69" w14:textId="77777777">
        <w:tc>
          <w:tcPr>
            <w:tcW w:w="1131" w:type="dxa"/>
            <w:hideMark/>
          </w:tcPr>
          <w:p w14:paraId="36503B3D"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APC projected</w:t>
            </w:r>
          </w:p>
        </w:tc>
        <w:tc>
          <w:tcPr>
            <w:tcW w:w="1131" w:type="dxa"/>
            <w:hideMark/>
          </w:tcPr>
          <w:p w14:paraId="3EFD6548"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2024</w:t>
            </w:r>
          </w:p>
        </w:tc>
        <w:tc>
          <w:tcPr>
            <w:tcW w:w="1131" w:type="dxa"/>
            <w:hideMark/>
          </w:tcPr>
          <w:p w14:paraId="1A2357FF"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70+</w:t>
            </w:r>
          </w:p>
        </w:tc>
        <w:tc>
          <w:tcPr>
            <w:tcW w:w="1131" w:type="dxa"/>
            <w:hideMark/>
          </w:tcPr>
          <w:p w14:paraId="58F3872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536.59</w:t>
            </w:r>
          </w:p>
        </w:tc>
        <w:tc>
          <w:tcPr>
            <w:tcW w:w="1131" w:type="dxa"/>
            <w:hideMark/>
          </w:tcPr>
          <w:p w14:paraId="119417B8"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25778.17</w:t>
            </w:r>
          </w:p>
        </w:tc>
        <w:tc>
          <w:tcPr>
            <w:tcW w:w="1131" w:type="dxa"/>
            <w:hideMark/>
          </w:tcPr>
          <w:p w14:paraId="795EA4B0"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138.32</w:t>
            </w:r>
          </w:p>
        </w:tc>
        <w:tc>
          <w:tcPr>
            <w:tcW w:w="1131" w:type="dxa"/>
            <w:hideMark/>
          </w:tcPr>
          <w:p w14:paraId="3EE0F2A4"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7.4</w:t>
            </w:r>
          </w:p>
        </w:tc>
      </w:tr>
      <w:tr w:rsidR="00CA1B76" w:rsidRPr="00CA1B76" w14:paraId="5DF426BF" w14:textId="77777777">
        <w:tc>
          <w:tcPr>
            <w:tcW w:w="1131" w:type="dxa"/>
            <w:hideMark/>
          </w:tcPr>
          <w:p w14:paraId="06116B33"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APC projected</w:t>
            </w:r>
          </w:p>
        </w:tc>
        <w:tc>
          <w:tcPr>
            <w:tcW w:w="1131" w:type="dxa"/>
            <w:hideMark/>
          </w:tcPr>
          <w:p w14:paraId="654A4623"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2050</w:t>
            </w:r>
          </w:p>
        </w:tc>
        <w:tc>
          <w:tcPr>
            <w:tcW w:w="1131" w:type="dxa"/>
            <w:hideMark/>
          </w:tcPr>
          <w:p w14:paraId="6D7198E9"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&lt;20</w:t>
            </w:r>
          </w:p>
        </w:tc>
        <w:tc>
          <w:tcPr>
            <w:tcW w:w="1131" w:type="dxa"/>
            <w:hideMark/>
          </w:tcPr>
          <w:p w14:paraId="3A040793"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2607.34</w:t>
            </w:r>
          </w:p>
        </w:tc>
        <w:tc>
          <w:tcPr>
            <w:tcW w:w="1131" w:type="dxa"/>
            <w:hideMark/>
          </w:tcPr>
          <w:p w14:paraId="47A35FA7"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15829.48</w:t>
            </w:r>
          </w:p>
        </w:tc>
        <w:tc>
          <w:tcPr>
            <w:tcW w:w="1131" w:type="dxa"/>
            <w:hideMark/>
          </w:tcPr>
          <w:p w14:paraId="61996DEC"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412.73</w:t>
            </w:r>
          </w:p>
        </w:tc>
        <w:tc>
          <w:tcPr>
            <w:tcW w:w="1131" w:type="dxa"/>
            <w:hideMark/>
          </w:tcPr>
          <w:p w14:paraId="561AD1EC"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18.1</w:t>
            </w:r>
          </w:p>
        </w:tc>
      </w:tr>
      <w:tr w:rsidR="00CA1B76" w:rsidRPr="00CA1B76" w14:paraId="4261EBA5" w14:textId="77777777">
        <w:tc>
          <w:tcPr>
            <w:tcW w:w="1131" w:type="dxa"/>
            <w:hideMark/>
          </w:tcPr>
          <w:p w14:paraId="7A7F495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APC projected</w:t>
            </w:r>
          </w:p>
        </w:tc>
        <w:tc>
          <w:tcPr>
            <w:tcW w:w="1131" w:type="dxa"/>
            <w:hideMark/>
          </w:tcPr>
          <w:p w14:paraId="002CCA20"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2050</w:t>
            </w:r>
          </w:p>
        </w:tc>
        <w:tc>
          <w:tcPr>
            <w:tcW w:w="1131" w:type="dxa"/>
            <w:hideMark/>
          </w:tcPr>
          <w:p w14:paraId="5152E080"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20-39</w:t>
            </w:r>
          </w:p>
        </w:tc>
        <w:tc>
          <w:tcPr>
            <w:tcW w:w="1131" w:type="dxa"/>
            <w:hideMark/>
          </w:tcPr>
          <w:p w14:paraId="737B7527"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2605.35</w:t>
            </w:r>
          </w:p>
        </w:tc>
        <w:tc>
          <w:tcPr>
            <w:tcW w:w="1131" w:type="dxa"/>
            <w:hideMark/>
          </w:tcPr>
          <w:p w14:paraId="624A3B8C"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27128.03</w:t>
            </w:r>
          </w:p>
        </w:tc>
        <w:tc>
          <w:tcPr>
            <w:tcW w:w="1131" w:type="dxa"/>
            <w:hideMark/>
          </w:tcPr>
          <w:p w14:paraId="54DB56BB"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706.78</w:t>
            </w:r>
          </w:p>
        </w:tc>
        <w:tc>
          <w:tcPr>
            <w:tcW w:w="1131" w:type="dxa"/>
            <w:hideMark/>
          </w:tcPr>
          <w:p w14:paraId="7D9B1AD9"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31.0</w:t>
            </w:r>
          </w:p>
        </w:tc>
      </w:tr>
      <w:tr w:rsidR="00CA1B76" w:rsidRPr="00CA1B76" w14:paraId="2324B48E" w14:textId="77777777">
        <w:tc>
          <w:tcPr>
            <w:tcW w:w="1131" w:type="dxa"/>
            <w:hideMark/>
          </w:tcPr>
          <w:p w14:paraId="4199F9AD"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APC projected</w:t>
            </w:r>
          </w:p>
        </w:tc>
        <w:tc>
          <w:tcPr>
            <w:tcW w:w="1131" w:type="dxa"/>
            <w:hideMark/>
          </w:tcPr>
          <w:p w14:paraId="4B0C286E"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2050</w:t>
            </w:r>
          </w:p>
        </w:tc>
        <w:tc>
          <w:tcPr>
            <w:tcW w:w="1131" w:type="dxa"/>
            <w:hideMark/>
          </w:tcPr>
          <w:p w14:paraId="2C77E1D9"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40-54</w:t>
            </w:r>
          </w:p>
        </w:tc>
        <w:tc>
          <w:tcPr>
            <w:tcW w:w="1131" w:type="dxa"/>
            <w:hideMark/>
          </w:tcPr>
          <w:p w14:paraId="0E200C2A"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1783.91</w:t>
            </w:r>
          </w:p>
        </w:tc>
        <w:tc>
          <w:tcPr>
            <w:tcW w:w="1131" w:type="dxa"/>
            <w:hideMark/>
          </w:tcPr>
          <w:p w14:paraId="7E7F61EC"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27128.03</w:t>
            </w:r>
          </w:p>
        </w:tc>
        <w:tc>
          <w:tcPr>
            <w:tcW w:w="1131" w:type="dxa"/>
            <w:hideMark/>
          </w:tcPr>
          <w:p w14:paraId="77DCA38D"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483.94</w:t>
            </w:r>
          </w:p>
        </w:tc>
        <w:tc>
          <w:tcPr>
            <w:tcW w:w="1131" w:type="dxa"/>
            <w:hideMark/>
          </w:tcPr>
          <w:p w14:paraId="667B4C2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21.2</w:t>
            </w:r>
          </w:p>
        </w:tc>
      </w:tr>
      <w:tr w:rsidR="00CA1B76" w:rsidRPr="00CA1B76" w14:paraId="6C5A4FFA" w14:textId="77777777">
        <w:tc>
          <w:tcPr>
            <w:tcW w:w="1131" w:type="dxa"/>
            <w:hideMark/>
          </w:tcPr>
          <w:p w14:paraId="522F7D4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 xml:space="preserve">APC </w:t>
            </w:r>
            <w:r w:rsidRPr="00CA1B76">
              <w:rPr>
                <w:rFonts w:ascii="Times New Roman" w:eastAsia="等线" w:hAnsi="Times New Roman"/>
              </w:rPr>
              <w:lastRenderedPageBreak/>
              <w:t>projected</w:t>
            </w:r>
          </w:p>
        </w:tc>
        <w:tc>
          <w:tcPr>
            <w:tcW w:w="1131" w:type="dxa"/>
            <w:hideMark/>
          </w:tcPr>
          <w:p w14:paraId="02E5265F"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lastRenderedPageBreak/>
              <w:t>2050</w:t>
            </w:r>
          </w:p>
        </w:tc>
        <w:tc>
          <w:tcPr>
            <w:tcW w:w="1131" w:type="dxa"/>
            <w:hideMark/>
          </w:tcPr>
          <w:p w14:paraId="2BFDB260"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55-69</w:t>
            </w:r>
          </w:p>
        </w:tc>
        <w:tc>
          <w:tcPr>
            <w:tcW w:w="1131" w:type="dxa"/>
            <w:hideMark/>
          </w:tcPr>
          <w:p w14:paraId="3EB0D8A1"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1517.47</w:t>
            </w:r>
          </w:p>
        </w:tc>
        <w:tc>
          <w:tcPr>
            <w:tcW w:w="1131" w:type="dxa"/>
            <w:hideMark/>
          </w:tcPr>
          <w:p w14:paraId="21737B79"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25605.13</w:t>
            </w:r>
          </w:p>
        </w:tc>
        <w:tc>
          <w:tcPr>
            <w:tcW w:w="1131" w:type="dxa"/>
            <w:hideMark/>
          </w:tcPr>
          <w:p w14:paraId="66548268"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388.55</w:t>
            </w:r>
          </w:p>
        </w:tc>
        <w:tc>
          <w:tcPr>
            <w:tcW w:w="1131" w:type="dxa"/>
            <w:hideMark/>
          </w:tcPr>
          <w:p w14:paraId="531BCB7D"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17.1</w:t>
            </w:r>
          </w:p>
        </w:tc>
      </w:tr>
      <w:tr w:rsidR="00CA1B76" w:rsidRPr="00CA1B76" w14:paraId="62983639" w14:textId="77777777" w:rsidTr="00CA1B76">
        <w:tc>
          <w:tcPr>
            <w:tcW w:w="1131" w:type="dxa"/>
            <w:tcBorders>
              <w:bottom w:val="single" w:sz="4" w:space="0" w:color="auto"/>
            </w:tcBorders>
            <w:hideMark/>
          </w:tcPr>
          <w:p w14:paraId="5FBB144B"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APC projected</w:t>
            </w:r>
          </w:p>
        </w:tc>
        <w:tc>
          <w:tcPr>
            <w:tcW w:w="1131" w:type="dxa"/>
            <w:tcBorders>
              <w:bottom w:val="single" w:sz="4" w:space="0" w:color="auto"/>
            </w:tcBorders>
            <w:hideMark/>
          </w:tcPr>
          <w:p w14:paraId="27065F6F"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2050</w:t>
            </w:r>
          </w:p>
        </w:tc>
        <w:tc>
          <w:tcPr>
            <w:tcW w:w="1131" w:type="dxa"/>
            <w:tcBorders>
              <w:bottom w:val="single" w:sz="4" w:space="0" w:color="auto"/>
            </w:tcBorders>
            <w:hideMark/>
          </w:tcPr>
          <w:p w14:paraId="3A87E52A"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70+</w:t>
            </w:r>
          </w:p>
        </w:tc>
        <w:tc>
          <w:tcPr>
            <w:tcW w:w="1131" w:type="dxa"/>
            <w:tcBorders>
              <w:bottom w:val="single" w:sz="4" w:space="0" w:color="auto"/>
            </w:tcBorders>
            <w:hideMark/>
          </w:tcPr>
          <w:p w14:paraId="0A6F4CCF"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1118.90</w:t>
            </w:r>
          </w:p>
        </w:tc>
        <w:tc>
          <w:tcPr>
            <w:tcW w:w="1131" w:type="dxa"/>
            <w:tcBorders>
              <w:bottom w:val="single" w:sz="4" w:space="0" w:color="auto"/>
            </w:tcBorders>
            <w:hideMark/>
          </w:tcPr>
          <w:p w14:paraId="6AE25ECA"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25605.13</w:t>
            </w:r>
          </w:p>
        </w:tc>
        <w:tc>
          <w:tcPr>
            <w:tcW w:w="1131" w:type="dxa"/>
            <w:tcBorders>
              <w:bottom w:val="single" w:sz="4" w:space="0" w:color="auto"/>
            </w:tcBorders>
            <w:hideMark/>
          </w:tcPr>
          <w:p w14:paraId="095B5110"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286.50</w:t>
            </w:r>
          </w:p>
        </w:tc>
        <w:tc>
          <w:tcPr>
            <w:tcW w:w="1131" w:type="dxa"/>
            <w:tcBorders>
              <w:bottom w:val="single" w:sz="4" w:space="0" w:color="auto"/>
            </w:tcBorders>
            <w:hideMark/>
          </w:tcPr>
          <w:p w14:paraId="0F419906"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12.6</w:t>
            </w:r>
          </w:p>
        </w:tc>
      </w:tr>
    </w:tbl>
    <w:bookmarkEnd w:id="1"/>
    <w:p w14:paraId="046507A5" w14:textId="260B69F1" w:rsidR="00CA1B76" w:rsidRPr="00CA1B76" w:rsidRDefault="00CA1B76" w:rsidP="006413D0">
      <w:pPr>
        <w:spacing w:before="180" w:after="180"/>
        <w:jc w:val="both"/>
        <w:rPr>
          <w:rFonts w:ascii="Times New Roman" w:eastAsia="等线" w:hAnsi="Times New Roman" w:cs="Times New Roman"/>
        </w:rPr>
      </w:pPr>
      <w:r w:rsidRPr="00CA1B76">
        <w:rPr>
          <w:rFonts w:ascii="Times New Roman" w:eastAsia="等线" w:hAnsi="Times New Roman" w:cs="Times New Roman"/>
          <w:b/>
          <w:bCs/>
        </w:rPr>
        <w:t>Supplementary Table 8. Older-age contrast scenarios in the fine-age sensitivity analysis while preserving the aggregate prevalence rate among adults aged 55 years or older.</w:t>
      </w:r>
    </w:p>
    <w:tbl>
      <w:tblPr>
        <w:tblStyle w:val="Table1"/>
        <w:tblW w:w="5000" w:type="pct"/>
        <w:tblInd w:w="0" w:type="dxa"/>
        <w:tblLayout w:type="fixed"/>
        <w:tblLook w:val="0020" w:firstRow="1" w:lastRow="0" w:firstColumn="0" w:lastColumn="0" w:noHBand="0" w:noVBand="0"/>
      </w:tblPr>
      <w:tblGrid>
        <w:gridCol w:w="1107"/>
        <w:gridCol w:w="1107"/>
        <w:gridCol w:w="1107"/>
        <w:gridCol w:w="1107"/>
        <w:gridCol w:w="1107"/>
        <w:gridCol w:w="1107"/>
        <w:gridCol w:w="1107"/>
        <w:gridCol w:w="1107"/>
      </w:tblGrid>
      <w:tr w:rsidR="00CA1B76" w:rsidRPr="00CA1B76" w14:paraId="045A035E" w14:textId="77777777" w:rsidTr="00CA1B76">
        <w:trPr>
          <w:cnfStyle w:val="100000000000" w:firstRow="1" w:lastRow="0" w:firstColumn="0" w:lastColumn="0" w:oddVBand="0" w:evenVBand="0" w:oddHBand="0" w:evenHBand="0" w:firstRowFirstColumn="0" w:firstRowLastColumn="0" w:lastRowFirstColumn="0" w:lastRowLastColumn="0"/>
          <w:tblHeader/>
        </w:trPr>
        <w:tc>
          <w:tcPr>
            <w:tcW w:w="990" w:type="dxa"/>
            <w:tcBorders>
              <w:top w:val="single" w:sz="4" w:space="0" w:color="auto"/>
              <w:left w:val="nil"/>
              <w:right w:val="nil"/>
            </w:tcBorders>
            <w:hideMark/>
          </w:tcPr>
          <w:p w14:paraId="32E2FDBD"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Scenario</w:t>
            </w:r>
          </w:p>
        </w:tc>
        <w:tc>
          <w:tcPr>
            <w:tcW w:w="990" w:type="dxa"/>
            <w:tcBorders>
              <w:top w:val="single" w:sz="4" w:space="0" w:color="auto"/>
              <w:left w:val="nil"/>
              <w:right w:val="nil"/>
            </w:tcBorders>
            <w:hideMark/>
          </w:tcPr>
          <w:p w14:paraId="492D095C"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70+ to 55-69 rate ratio</w:t>
            </w:r>
          </w:p>
        </w:tc>
        <w:tc>
          <w:tcPr>
            <w:tcW w:w="990" w:type="dxa"/>
            <w:tcBorders>
              <w:top w:val="single" w:sz="4" w:space="0" w:color="auto"/>
              <w:left w:val="nil"/>
              <w:right w:val="nil"/>
            </w:tcBorders>
            <w:hideMark/>
          </w:tcPr>
          <w:p w14:paraId="5FCCF61F"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Source</w:t>
            </w:r>
          </w:p>
        </w:tc>
        <w:tc>
          <w:tcPr>
            <w:tcW w:w="990" w:type="dxa"/>
            <w:tcBorders>
              <w:top w:val="single" w:sz="4" w:space="0" w:color="auto"/>
              <w:left w:val="nil"/>
              <w:right w:val="nil"/>
            </w:tcBorders>
            <w:hideMark/>
          </w:tcPr>
          <w:p w14:paraId="550AEC16"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Year</w:t>
            </w:r>
          </w:p>
        </w:tc>
        <w:tc>
          <w:tcPr>
            <w:tcW w:w="990" w:type="dxa"/>
            <w:tcBorders>
              <w:top w:val="single" w:sz="4" w:space="0" w:color="auto"/>
              <w:left w:val="nil"/>
              <w:right w:val="nil"/>
            </w:tcBorders>
            <w:hideMark/>
          </w:tcPr>
          <w:p w14:paraId="1F0FE641"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Fine age group</w:t>
            </w:r>
          </w:p>
        </w:tc>
        <w:tc>
          <w:tcPr>
            <w:tcW w:w="990" w:type="dxa"/>
            <w:tcBorders>
              <w:top w:val="single" w:sz="4" w:space="0" w:color="auto"/>
              <w:left w:val="nil"/>
              <w:right w:val="nil"/>
            </w:tcBorders>
            <w:hideMark/>
          </w:tcPr>
          <w:p w14:paraId="4001126C"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Prevalence per 100,000</w:t>
            </w:r>
          </w:p>
        </w:tc>
        <w:tc>
          <w:tcPr>
            <w:tcW w:w="990" w:type="dxa"/>
            <w:tcBorders>
              <w:top w:val="single" w:sz="4" w:space="0" w:color="auto"/>
              <w:left w:val="nil"/>
              <w:right w:val="nil"/>
            </w:tcBorders>
            <w:hideMark/>
          </w:tcPr>
          <w:p w14:paraId="042C85AA"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Cases (million)</w:t>
            </w:r>
          </w:p>
        </w:tc>
        <w:tc>
          <w:tcPr>
            <w:tcW w:w="990" w:type="dxa"/>
            <w:tcBorders>
              <w:top w:val="single" w:sz="4" w:space="0" w:color="auto"/>
              <w:left w:val="nil"/>
              <w:right w:val="nil"/>
            </w:tcBorders>
            <w:hideMark/>
          </w:tcPr>
          <w:p w14:paraId="3B1088B9"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Case share (%)</w:t>
            </w:r>
          </w:p>
        </w:tc>
      </w:tr>
      <w:tr w:rsidR="00CA1B76" w:rsidRPr="00CA1B76" w14:paraId="05EEB276" w14:textId="77777777">
        <w:tc>
          <w:tcPr>
            <w:tcW w:w="990" w:type="dxa"/>
            <w:hideMark/>
          </w:tcPr>
          <w:p w14:paraId="0C3FDEAE"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older_lower_0.8</w:t>
            </w:r>
          </w:p>
        </w:tc>
        <w:tc>
          <w:tcPr>
            <w:tcW w:w="990" w:type="dxa"/>
            <w:hideMark/>
          </w:tcPr>
          <w:p w14:paraId="094E6F2A"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0.8</w:t>
            </w:r>
          </w:p>
        </w:tc>
        <w:tc>
          <w:tcPr>
            <w:tcW w:w="990" w:type="dxa"/>
            <w:hideMark/>
          </w:tcPr>
          <w:p w14:paraId="210B4958"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GBD observed</w:t>
            </w:r>
          </w:p>
        </w:tc>
        <w:tc>
          <w:tcPr>
            <w:tcW w:w="990" w:type="dxa"/>
            <w:hideMark/>
          </w:tcPr>
          <w:p w14:paraId="49097974"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2023</w:t>
            </w:r>
          </w:p>
        </w:tc>
        <w:tc>
          <w:tcPr>
            <w:tcW w:w="990" w:type="dxa"/>
            <w:hideMark/>
          </w:tcPr>
          <w:p w14:paraId="0B8531BC"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70+</w:t>
            </w:r>
          </w:p>
        </w:tc>
        <w:tc>
          <w:tcPr>
            <w:tcW w:w="990" w:type="dxa"/>
            <w:hideMark/>
          </w:tcPr>
          <w:p w14:paraId="0FD19D91"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22921.35</w:t>
            </w:r>
          </w:p>
        </w:tc>
        <w:tc>
          <w:tcPr>
            <w:tcW w:w="990" w:type="dxa"/>
            <w:hideMark/>
          </w:tcPr>
          <w:p w14:paraId="779673DA"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118.28</w:t>
            </w:r>
          </w:p>
        </w:tc>
        <w:tc>
          <w:tcPr>
            <w:tcW w:w="990" w:type="dxa"/>
            <w:hideMark/>
          </w:tcPr>
          <w:p w14:paraId="61E76A87"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6.3</w:t>
            </w:r>
          </w:p>
        </w:tc>
      </w:tr>
      <w:tr w:rsidR="00CA1B76" w:rsidRPr="00CA1B76" w14:paraId="46F8C063" w14:textId="77777777">
        <w:tc>
          <w:tcPr>
            <w:tcW w:w="990" w:type="dxa"/>
            <w:hideMark/>
          </w:tcPr>
          <w:p w14:paraId="3140FE2F"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equal_within_band_1.0</w:t>
            </w:r>
          </w:p>
        </w:tc>
        <w:tc>
          <w:tcPr>
            <w:tcW w:w="990" w:type="dxa"/>
            <w:hideMark/>
          </w:tcPr>
          <w:p w14:paraId="25641616"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1.0</w:t>
            </w:r>
          </w:p>
        </w:tc>
        <w:tc>
          <w:tcPr>
            <w:tcW w:w="990" w:type="dxa"/>
            <w:hideMark/>
          </w:tcPr>
          <w:p w14:paraId="0BB008A3"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GBD observed</w:t>
            </w:r>
          </w:p>
        </w:tc>
        <w:tc>
          <w:tcPr>
            <w:tcW w:w="990" w:type="dxa"/>
            <w:hideMark/>
          </w:tcPr>
          <w:p w14:paraId="7B4802FE"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2023</w:t>
            </w:r>
          </w:p>
        </w:tc>
        <w:tc>
          <w:tcPr>
            <w:tcW w:w="990" w:type="dxa"/>
            <w:hideMark/>
          </w:tcPr>
          <w:p w14:paraId="14A7C9CE"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70+</w:t>
            </w:r>
          </w:p>
        </w:tc>
        <w:tc>
          <w:tcPr>
            <w:tcW w:w="990" w:type="dxa"/>
            <w:hideMark/>
          </w:tcPr>
          <w:p w14:paraId="03F59D4F"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26742.99</w:t>
            </w:r>
          </w:p>
        </w:tc>
        <w:tc>
          <w:tcPr>
            <w:tcW w:w="990" w:type="dxa"/>
            <w:hideMark/>
          </w:tcPr>
          <w:p w14:paraId="00A09F64"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138.01</w:t>
            </w:r>
          </w:p>
        </w:tc>
        <w:tc>
          <w:tcPr>
            <w:tcW w:w="990" w:type="dxa"/>
            <w:hideMark/>
          </w:tcPr>
          <w:p w14:paraId="2D0F81F1"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7.4</w:t>
            </w:r>
          </w:p>
        </w:tc>
      </w:tr>
      <w:tr w:rsidR="00CA1B76" w:rsidRPr="00CA1B76" w14:paraId="5E02C6FF" w14:textId="77777777">
        <w:tc>
          <w:tcPr>
            <w:tcW w:w="990" w:type="dxa"/>
            <w:hideMark/>
          </w:tcPr>
          <w:p w14:paraId="4FF96008"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older_higher_1.2</w:t>
            </w:r>
          </w:p>
        </w:tc>
        <w:tc>
          <w:tcPr>
            <w:tcW w:w="990" w:type="dxa"/>
            <w:hideMark/>
          </w:tcPr>
          <w:p w14:paraId="2CE5EEC5"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1.2</w:t>
            </w:r>
          </w:p>
        </w:tc>
        <w:tc>
          <w:tcPr>
            <w:tcW w:w="990" w:type="dxa"/>
            <w:hideMark/>
          </w:tcPr>
          <w:p w14:paraId="0C05C99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GBD observed</w:t>
            </w:r>
          </w:p>
        </w:tc>
        <w:tc>
          <w:tcPr>
            <w:tcW w:w="990" w:type="dxa"/>
            <w:hideMark/>
          </w:tcPr>
          <w:p w14:paraId="55129CE3"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2023</w:t>
            </w:r>
          </w:p>
        </w:tc>
        <w:tc>
          <w:tcPr>
            <w:tcW w:w="990" w:type="dxa"/>
            <w:hideMark/>
          </w:tcPr>
          <w:p w14:paraId="461988CE"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70+</w:t>
            </w:r>
          </w:p>
        </w:tc>
        <w:tc>
          <w:tcPr>
            <w:tcW w:w="990" w:type="dxa"/>
            <w:hideMark/>
          </w:tcPr>
          <w:p w14:paraId="5CA22698"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30087.26</w:t>
            </w:r>
          </w:p>
        </w:tc>
        <w:tc>
          <w:tcPr>
            <w:tcW w:w="990" w:type="dxa"/>
            <w:hideMark/>
          </w:tcPr>
          <w:p w14:paraId="53AF744D"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155.26</w:t>
            </w:r>
          </w:p>
        </w:tc>
        <w:tc>
          <w:tcPr>
            <w:tcW w:w="990" w:type="dxa"/>
            <w:hideMark/>
          </w:tcPr>
          <w:p w14:paraId="0D0D9B1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8.3</w:t>
            </w:r>
          </w:p>
        </w:tc>
      </w:tr>
      <w:tr w:rsidR="00CA1B76" w:rsidRPr="00CA1B76" w14:paraId="3D26C9BA" w14:textId="77777777">
        <w:tc>
          <w:tcPr>
            <w:tcW w:w="990" w:type="dxa"/>
            <w:hideMark/>
          </w:tcPr>
          <w:p w14:paraId="2B990D17"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older_much_higher_1.5</w:t>
            </w:r>
          </w:p>
        </w:tc>
        <w:tc>
          <w:tcPr>
            <w:tcW w:w="990" w:type="dxa"/>
            <w:hideMark/>
          </w:tcPr>
          <w:p w14:paraId="2997E6C6"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1.5</w:t>
            </w:r>
          </w:p>
        </w:tc>
        <w:tc>
          <w:tcPr>
            <w:tcW w:w="990" w:type="dxa"/>
            <w:hideMark/>
          </w:tcPr>
          <w:p w14:paraId="437D1558"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GBD observed</w:t>
            </w:r>
          </w:p>
        </w:tc>
        <w:tc>
          <w:tcPr>
            <w:tcW w:w="990" w:type="dxa"/>
            <w:hideMark/>
          </w:tcPr>
          <w:p w14:paraId="30A89B86"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2023</w:t>
            </w:r>
          </w:p>
        </w:tc>
        <w:tc>
          <w:tcPr>
            <w:tcW w:w="990" w:type="dxa"/>
            <w:hideMark/>
          </w:tcPr>
          <w:p w14:paraId="4F633341"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70+</w:t>
            </w:r>
          </w:p>
        </w:tc>
        <w:tc>
          <w:tcPr>
            <w:tcW w:w="990" w:type="dxa"/>
            <w:hideMark/>
          </w:tcPr>
          <w:p w14:paraId="2BB21AB5"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34387.50</w:t>
            </w:r>
          </w:p>
        </w:tc>
        <w:tc>
          <w:tcPr>
            <w:tcW w:w="990" w:type="dxa"/>
            <w:hideMark/>
          </w:tcPr>
          <w:p w14:paraId="6AB76047"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177.45</w:t>
            </w:r>
          </w:p>
        </w:tc>
        <w:tc>
          <w:tcPr>
            <w:tcW w:w="990" w:type="dxa"/>
            <w:hideMark/>
          </w:tcPr>
          <w:p w14:paraId="17F56B6C"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9.5</w:t>
            </w:r>
          </w:p>
        </w:tc>
      </w:tr>
      <w:tr w:rsidR="00CA1B76" w:rsidRPr="00CA1B76" w14:paraId="2B3F716A" w14:textId="77777777">
        <w:tc>
          <w:tcPr>
            <w:tcW w:w="990" w:type="dxa"/>
            <w:hideMark/>
          </w:tcPr>
          <w:p w14:paraId="1415C6F4"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older_lower_0.8</w:t>
            </w:r>
          </w:p>
        </w:tc>
        <w:tc>
          <w:tcPr>
            <w:tcW w:w="990" w:type="dxa"/>
            <w:hideMark/>
          </w:tcPr>
          <w:p w14:paraId="227E4513"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0.8</w:t>
            </w:r>
          </w:p>
        </w:tc>
        <w:tc>
          <w:tcPr>
            <w:tcW w:w="990" w:type="dxa"/>
            <w:hideMark/>
          </w:tcPr>
          <w:p w14:paraId="612CB9D9"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APC projected</w:t>
            </w:r>
          </w:p>
        </w:tc>
        <w:tc>
          <w:tcPr>
            <w:tcW w:w="990" w:type="dxa"/>
            <w:hideMark/>
          </w:tcPr>
          <w:p w14:paraId="0BE2B2C5"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2050</w:t>
            </w:r>
          </w:p>
        </w:tc>
        <w:tc>
          <w:tcPr>
            <w:tcW w:w="990" w:type="dxa"/>
            <w:hideMark/>
          </w:tcPr>
          <w:p w14:paraId="12F0E97D"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70+</w:t>
            </w:r>
          </w:p>
        </w:tc>
        <w:tc>
          <w:tcPr>
            <w:tcW w:w="990" w:type="dxa"/>
            <w:hideMark/>
          </w:tcPr>
          <w:p w14:paraId="3F3A238C"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22384.11</w:t>
            </w:r>
          </w:p>
        </w:tc>
        <w:tc>
          <w:tcPr>
            <w:tcW w:w="990" w:type="dxa"/>
            <w:hideMark/>
          </w:tcPr>
          <w:p w14:paraId="3472821C"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250.46</w:t>
            </w:r>
          </w:p>
        </w:tc>
        <w:tc>
          <w:tcPr>
            <w:tcW w:w="990" w:type="dxa"/>
            <w:hideMark/>
          </w:tcPr>
          <w:p w14:paraId="27F63441"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11.0</w:t>
            </w:r>
          </w:p>
        </w:tc>
      </w:tr>
      <w:tr w:rsidR="00CA1B76" w:rsidRPr="00CA1B76" w14:paraId="5F9FDE80" w14:textId="77777777">
        <w:tc>
          <w:tcPr>
            <w:tcW w:w="990" w:type="dxa"/>
            <w:hideMark/>
          </w:tcPr>
          <w:p w14:paraId="3BEEB425"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equal_within_band_1.0</w:t>
            </w:r>
          </w:p>
        </w:tc>
        <w:tc>
          <w:tcPr>
            <w:tcW w:w="990" w:type="dxa"/>
            <w:hideMark/>
          </w:tcPr>
          <w:p w14:paraId="4F81B19A"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1.0</w:t>
            </w:r>
          </w:p>
        </w:tc>
        <w:tc>
          <w:tcPr>
            <w:tcW w:w="990" w:type="dxa"/>
            <w:hideMark/>
          </w:tcPr>
          <w:p w14:paraId="3D8749B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APC projected</w:t>
            </w:r>
          </w:p>
        </w:tc>
        <w:tc>
          <w:tcPr>
            <w:tcW w:w="990" w:type="dxa"/>
            <w:hideMark/>
          </w:tcPr>
          <w:p w14:paraId="0A2308F6"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2050</w:t>
            </w:r>
          </w:p>
        </w:tc>
        <w:tc>
          <w:tcPr>
            <w:tcW w:w="990" w:type="dxa"/>
            <w:hideMark/>
          </w:tcPr>
          <w:p w14:paraId="7D1B69EE"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70+</w:t>
            </w:r>
          </w:p>
        </w:tc>
        <w:tc>
          <w:tcPr>
            <w:tcW w:w="990" w:type="dxa"/>
            <w:hideMark/>
          </w:tcPr>
          <w:p w14:paraId="1FBBC1E1"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25605.13</w:t>
            </w:r>
          </w:p>
        </w:tc>
        <w:tc>
          <w:tcPr>
            <w:tcW w:w="990" w:type="dxa"/>
            <w:hideMark/>
          </w:tcPr>
          <w:p w14:paraId="0109964E"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286.50</w:t>
            </w:r>
          </w:p>
        </w:tc>
        <w:tc>
          <w:tcPr>
            <w:tcW w:w="990" w:type="dxa"/>
            <w:hideMark/>
          </w:tcPr>
          <w:p w14:paraId="67D7DF56"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12.6</w:t>
            </w:r>
          </w:p>
        </w:tc>
      </w:tr>
      <w:tr w:rsidR="00CA1B76" w:rsidRPr="00CA1B76" w14:paraId="7741A190" w14:textId="77777777">
        <w:tc>
          <w:tcPr>
            <w:tcW w:w="990" w:type="dxa"/>
            <w:hideMark/>
          </w:tcPr>
          <w:p w14:paraId="1327CE43"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older_higher_1.2</w:t>
            </w:r>
          </w:p>
        </w:tc>
        <w:tc>
          <w:tcPr>
            <w:tcW w:w="990" w:type="dxa"/>
            <w:hideMark/>
          </w:tcPr>
          <w:p w14:paraId="79209A2E"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1.2</w:t>
            </w:r>
          </w:p>
        </w:tc>
        <w:tc>
          <w:tcPr>
            <w:tcW w:w="990" w:type="dxa"/>
            <w:hideMark/>
          </w:tcPr>
          <w:p w14:paraId="72C7DF9A"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APC projected</w:t>
            </w:r>
          </w:p>
        </w:tc>
        <w:tc>
          <w:tcPr>
            <w:tcW w:w="990" w:type="dxa"/>
            <w:hideMark/>
          </w:tcPr>
          <w:p w14:paraId="78DA11C0"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2050</w:t>
            </w:r>
          </w:p>
        </w:tc>
        <w:tc>
          <w:tcPr>
            <w:tcW w:w="990" w:type="dxa"/>
            <w:hideMark/>
          </w:tcPr>
          <w:p w14:paraId="60E7E7DC"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70+</w:t>
            </w:r>
          </w:p>
        </w:tc>
        <w:tc>
          <w:tcPr>
            <w:tcW w:w="990" w:type="dxa"/>
            <w:hideMark/>
          </w:tcPr>
          <w:p w14:paraId="3BB6DF87"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28322.13</w:t>
            </w:r>
          </w:p>
        </w:tc>
        <w:tc>
          <w:tcPr>
            <w:tcW w:w="990" w:type="dxa"/>
            <w:hideMark/>
          </w:tcPr>
          <w:p w14:paraId="71AA1A80"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316.90</w:t>
            </w:r>
          </w:p>
        </w:tc>
        <w:tc>
          <w:tcPr>
            <w:tcW w:w="990" w:type="dxa"/>
            <w:hideMark/>
          </w:tcPr>
          <w:p w14:paraId="25C7A640"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13.9</w:t>
            </w:r>
          </w:p>
        </w:tc>
      </w:tr>
      <w:tr w:rsidR="00CA1B76" w:rsidRPr="00CA1B76" w14:paraId="68A29798" w14:textId="77777777" w:rsidTr="00CA1B76">
        <w:tc>
          <w:tcPr>
            <w:tcW w:w="990" w:type="dxa"/>
            <w:tcBorders>
              <w:bottom w:val="single" w:sz="4" w:space="0" w:color="auto"/>
            </w:tcBorders>
            <w:hideMark/>
          </w:tcPr>
          <w:p w14:paraId="2BE019FC"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older_much_higher_1.5</w:t>
            </w:r>
          </w:p>
        </w:tc>
        <w:tc>
          <w:tcPr>
            <w:tcW w:w="990" w:type="dxa"/>
            <w:tcBorders>
              <w:bottom w:val="single" w:sz="4" w:space="0" w:color="auto"/>
            </w:tcBorders>
            <w:hideMark/>
          </w:tcPr>
          <w:p w14:paraId="4F519803"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1.5</w:t>
            </w:r>
          </w:p>
        </w:tc>
        <w:tc>
          <w:tcPr>
            <w:tcW w:w="990" w:type="dxa"/>
            <w:tcBorders>
              <w:bottom w:val="single" w:sz="4" w:space="0" w:color="auto"/>
            </w:tcBorders>
            <w:hideMark/>
          </w:tcPr>
          <w:p w14:paraId="08417F2A"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APC projected</w:t>
            </w:r>
          </w:p>
        </w:tc>
        <w:tc>
          <w:tcPr>
            <w:tcW w:w="990" w:type="dxa"/>
            <w:tcBorders>
              <w:bottom w:val="single" w:sz="4" w:space="0" w:color="auto"/>
            </w:tcBorders>
            <w:hideMark/>
          </w:tcPr>
          <w:p w14:paraId="53B81A17"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2050</w:t>
            </w:r>
          </w:p>
        </w:tc>
        <w:tc>
          <w:tcPr>
            <w:tcW w:w="990" w:type="dxa"/>
            <w:tcBorders>
              <w:bottom w:val="single" w:sz="4" w:space="0" w:color="auto"/>
            </w:tcBorders>
            <w:hideMark/>
          </w:tcPr>
          <w:p w14:paraId="58CDC829"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70+</w:t>
            </w:r>
          </w:p>
        </w:tc>
        <w:tc>
          <w:tcPr>
            <w:tcW w:w="990" w:type="dxa"/>
            <w:tcBorders>
              <w:bottom w:val="single" w:sz="4" w:space="0" w:color="auto"/>
            </w:tcBorders>
            <w:hideMark/>
          </w:tcPr>
          <w:p w14:paraId="6984A4A2"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31684.18</w:t>
            </w:r>
          </w:p>
        </w:tc>
        <w:tc>
          <w:tcPr>
            <w:tcW w:w="990" w:type="dxa"/>
            <w:tcBorders>
              <w:bottom w:val="single" w:sz="4" w:space="0" w:color="auto"/>
            </w:tcBorders>
            <w:hideMark/>
          </w:tcPr>
          <w:p w14:paraId="20ACCF98"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354.51</w:t>
            </w:r>
          </w:p>
        </w:tc>
        <w:tc>
          <w:tcPr>
            <w:tcW w:w="990" w:type="dxa"/>
            <w:tcBorders>
              <w:bottom w:val="single" w:sz="4" w:space="0" w:color="auto"/>
            </w:tcBorders>
            <w:hideMark/>
          </w:tcPr>
          <w:p w14:paraId="20A4AD8C" w14:textId="77777777" w:rsidR="00CA1B76" w:rsidRPr="00CA1B76" w:rsidRDefault="00CA1B76" w:rsidP="006413D0">
            <w:pPr>
              <w:spacing w:before="36" w:after="36"/>
              <w:jc w:val="both"/>
              <w:rPr>
                <w:rFonts w:ascii="Times New Roman" w:eastAsia="等线" w:hAnsi="Times New Roman"/>
              </w:rPr>
            </w:pPr>
            <w:r w:rsidRPr="00CA1B76">
              <w:rPr>
                <w:rFonts w:ascii="Times New Roman" w:eastAsia="等线" w:hAnsi="Times New Roman"/>
              </w:rPr>
              <w:t>15.6</w:t>
            </w:r>
          </w:p>
        </w:tc>
      </w:tr>
    </w:tbl>
    <w:p w14:paraId="622596CE" w14:textId="77777777" w:rsidR="00CA1B76" w:rsidRPr="00CA1B76" w:rsidRDefault="00CA1B76" w:rsidP="006413D0">
      <w:pPr>
        <w:pStyle w:val="a0"/>
        <w:jc w:val="both"/>
        <w:rPr>
          <w:rFonts w:ascii="Times New Roman" w:hAnsi="Times New Roman" w:cs="Times New Roman"/>
          <w:b/>
          <w:bCs/>
        </w:rPr>
      </w:pPr>
    </w:p>
    <w:p w14:paraId="32F3E211" w14:textId="1EEC15F3" w:rsidR="00B940BA" w:rsidRPr="00CA1B76" w:rsidRDefault="002C2741" w:rsidP="006413D0">
      <w:pPr>
        <w:pStyle w:val="a0"/>
        <w:jc w:val="both"/>
        <w:rPr>
          <w:rFonts w:ascii="Times New Roman" w:hAnsi="Times New Roman" w:cs="Times New Roman"/>
        </w:rPr>
      </w:pPr>
      <w:r w:rsidRPr="00CA1B76">
        <w:rPr>
          <w:rFonts w:ascii="Times New Roman" w:hAnsi="Times New Roman" w:cs="Times New Roman"/>
          <w:b/>
          <w:bCs/>
        </w:rPr>
        <w:t xml:space="preserve">Supplementary Table </w:t>
      </w:r>
      <w:r w:rsidR="00CA1B76" w:rsidRPr="00CA1B76">
        <w:rPr>
          <w:rFonts w:ascii="Times New Roman" w:hAnsi="Times New Roman" w:cs="Times New Roman"/>
          <w:b/>
          <w:bCs/>
        </w:rPr>
        <w:t>9</w:t>
      </w:r>
      <w:r w:rsidRPr="00CA1B76">
        <w:rPr>
          <w:rFonts w:ascii="Times New Roman" w:hAnsi="Times New Roman" w:cs="Times New Roman"/>
          <w:b/>
          <w:bCs/>
        </w:rPr>
        <w:t>. Sensitivity of national age-standardized LTBI prevalence AAPC estimates to alternative maximum joinpoint settings, 2010-2023.</w:t>
      </w:r>
    </w:p>
    <w:tbl>
      <w:tblPr>
        <w:tblStyle w:val="Table"/>
        <w:tblW w:w="5000" w:type="pct"/>
        <w:tblLayout w:type="fixed"/>
        <w:tblLook w:val="0020" w:firstRow="1" w:lastRow="0" w:firstColumn="0" w:lastColumn="0" w:noHBand="0" w:noVBand="0"/>
      </w:tblPr>
      <w:tblGrid>
        <w:gridCol w:w="1266"/>
        <w:gridCol w:w="1265"/>
        <w:gridCol w:w="1265"/>
        <w:gridCol w:w="1265"/>
        <w:gridCol w:w="1265"/>
        <w:gridCol w:w="1265"/>
        <w:gridCol w:w="1265"/>
      </w:tblGrid>
      <w:tr w:rsidR="00B940BA" w:rsidRPr="00CA1B76" w14:paraId="15BA5394" w14:textId="77777777" w:rsidTr="00CA1B76">
        <w:trPr>
          <w:cnfStyle w:val="100000000000" w:firstRow="1" w:lastRow="0" w:firstColumn="0" w:lastColumn="0" w:oddVBand="0" w:evenVBand="0" w:oddHBand="0" w:evenHBand="0" w:firstRowFirstColumn="0" w:firstRowLastColumn="0" w:lastRowFirstColumn="0" w:lastRowLastColumn="0"/>
          <w:tblHeader/>
        </w:trPr>
        <w:tc>
          <w:tcPr>
            <w:tcW w:w="1131" w:type="dxa"/>
            <w:tcBorders>
              <w:top w:val="single" w:sz="4" w:space="0" w:color="auto"/>
            </w:tcBorders>
          </w:tcPr>
          <w:p w14:paraId="51347287"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Max. allowed joinpoints</w:t>
            </w:r>
          </w:p>
        </w:tc>
        <w:tc>
          <w:tcPr>
            <w:tcW w:w="1131" w:type="dxa"/>
            <w:tcBorders>
              <w:top w:val="single" w:sz="4" w:space="0" w:color="auto"/>
            </w:tcBorders>
          </w:tcPr>
          <w:p w14:paraId="641A8267"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Selected joinpoints, n (%)</w:t>
            </w:r>
          </w:p>
        </w:tc>
        <w:tc>
          <w:tcPr>
            <w:tcW w:w="1131" w:type="dxa"/>
            <w:tcBorders>
              <w:top w:val="single" w:sz="4" w:space="0" w:color="auto"/>
            </w:tcBorders>
          </w:tcPr>
          <w:p w14:paraId="68098FB1"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Countries, n</w:t>
            </w:r>
          </w:p>
        </w:tc>
        <w:tc>
          <w:tcPr>
            <w:tcW w:w="1131" w:type="dxa"/>
            <w:tcBorders>
              <w:top w:val="single" w:sz="4" w:space="0" w:color="auto"/>
            </w:tcBorders>
          </w:tcPr>
          <w:p w14:paraId="51DA772E"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Median AAPC (%)</w:t>
            </w:r>
          </w:p>
        </w:tc>
        <w:tc>
          <w:tcPr>
            <w:tcW w:w="1131" w:type="dxa"/>
            <w:tcBorders>
              <w:top w:val="single" w:sz="4" w:space="0" w:color="auto"/>
            </w:tcBorders>
          </w:tcPr>
          <w:p w14:paraId="451AFF8B"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IQR of AAPC (%)</w:t>
            </w:r>
          </w:p>
        </w:tc>
        <w:tc>
          <w:tcPr>
            <w:tcW w:w="1131" w:type="dxa"/>
            <w:tcBorders>
              <w:top w:val="single" w:sz="4" w:space="0" w:color="auto"/>
            </w:tcBorders>
          </w:tcPr>
          <w:p w14:paraId="37CA5D8D"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Median absolute change vs primar</w:t>
            </w:r>
            <w:r w:rsidRPr="00CA1B76">
              <w:rPr>
                <w:rFonts w:ascii="Times New Roman" w:hAnsi="Times New Roman" w:cs="Times New Roman"/>
              </w:rPr>
              <w:t>y model</w:t>
            </w:r>
          </w:p>
        </w:tc>
        <w:tc>
          <w:tcPr>
            <w:tcW w:w="1131" w:type="dxa"/>
            <w:tcBorders>
              <w:top w:val="single" w:sz="4" w:space="0" w:color="auto"/>
            </w:tcBorders>
          </w:tcPr>
          <w:p w14:paraId="6973ACD5"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Maximum absolute change vs primary model</w:t>
            </w:r>
          </w:p>
        </w:tc>
      </w:tr>
      <w:tr w:rsidR="00B940BA" w:rsidRPr="00CA1B76" w14:paraId="0494F531" w14:textId="77777777">
        <w:tc>
          <w:tcPr>
            <w:tcW w:w="1131" w:type="dxa"/>
          </w:tcPr>
          <w:p w14:paraId="28251355"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0</w:t>
            </w:r>
          </w:p>
        </w:tc>
        <w:tc>
          <w:tcPr>
            <w:tcW w:w="1131" w:type="dxa"/>
          </w:tcPr>
          <w:p w14:paraId="3163710E"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0: 204 (100.0%)</w:t>
            </w:r>
          </w:p>
        </w:tc>
        <w:tc>
          <w:tcPr>
            <w:tcW w:w="1131" w:type="dxa"/>
          </w:tcPr>
          <w:p w14:paraId="4EF5035F"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204</w:t>
            </w:r>
          </w:p>
        </w:tc>
        <w:tc>
          <w:tcPr>
            <w:tcW w:w="1131" w:type="dxa"/>
          </w:tcPr>
          <w:p w14:paraId="288F32D2"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-2.25</w:t>
            </w:r>
          </w:p>
        </w:tc>
        <w:tc>
          <w:tcPr>
            <w:tcW w:w="1131" w:type="dxa"/>
          </w:tcPr>
          <w:p w14:paraId="189D7DEE"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-2.69 to -1.80</w:t>
            </w:r>
          </w:p>
        </w:tc>
        <w:tc>
          <w:tcPr>
            <w:tcW w:w="1131" w:type="dxa"/>
          </w:tcPr>
          <w:p w14:paraId="6CF4CC8E"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0.030</w:t>
            </w:r>
          </w:p>
        </w:tc>
        <w:tc>
          <w:tcPr>
            <w:tcW w:w="1131" w:type="dxa"/>
          </w:tcPr>
          <w:p w14:paraId="06584D2A"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0.300</w:t>
            </w:r>
          </w:p>
        </w:tc>
      </w:tr>
      <w:tr w:rsidR="00B940BA" w:rsidRPr="00CA1B76" w14:paraId="28C6B800" w14:textId="77777777">
        <w:tc>
          <w:tcPr>
            <w:tcW w:w="1131" w:type="dxa"/>
          </w:tcPr>
          <w:p w14:paraId="618EFD5D"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1</w:t>
            </w:r>
          </w:p>
        </w:tc>
        <w:tc>
          <w:tcPr>
            <w:tcW w:w="1131" w:type="dxa"/>
          </w:tcPr>
          <w:p w14:paraId="459ACB33"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 xml:space="preserve">0: 15 (7.4%); 1: 189 </w:t>
            </w:r>
            <w:r w:rsidRPr="00CA1B76">
              <w:rPr>
                <w:rFonts w:ascii="Times New Roman" w:hAnsi="Times New Roman" w:cs="Times New Roman"/>
              </w:rPr>
              <w:lastRenderedPageBreak/>
              <w:t>(92.6%)</w:t>
            </w:r>
          </w:p>
        </w:tc>
        <w:tc>
          <w:tcPr>
            <w:tcW w:w="1131" w:type="dxa"/>
          </w:tcPr>
          <w:p w14:paraId="5E724B60"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lastRenderedPageBreak/>
              <w:t>204</w:t>
            </w:r>
          </w:p>
        </w:tc>
        <w:tc>
          <w:tcPr>
            <w:tcW w:w="1131" w:type="dxa"/>
          </w:tcPr>
          <w:p w14:paraId="61C298A2"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-2.28</w:t>
            </w:r>
          </w:p>
        </w:tc>
        <w:tc>
          <w:tcPr>
            <w:tcW w:w="1131" w:type="dxa"/>
          </w:tcPr>
          <w:p w14:paraId="01667B3D"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-2.70 to -1.78</w:t>
            </w:r>
          </w:p>
        </w:tc>
        <w:tc>
          <w:tcPr>
            <w:tcW w:w="1131" w:type="dxa"/>
          </w:tcPr>
          <w:p w14:paraId="5392745A"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0.000</w:t>
            </w:r>
          </w:p>
        </w:tc>
        <w:tc>
          <w:tcPr>
            <w:tcW w:w="1131" w:type="dxa"/>
          </w:tcPr>
          <w:p w14:paraId="34868C72"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0.180</w:t>
            </w:r>
          </w:p>
        </w:tc>
      </w:tr>
      <w:tr w:rsidR="00B940BA" w:rsidRPr="00CA1B76" w14:paraId="61E5BE43" w14:textId="77777777">
        <w:tc>
          <w:tcPr>
            <w:tcW w:w="1131" w:type="dxa"/>
          </w:tcPr>
          <w:p w14:paraId="6A8D8F85"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2</w:t>
            </w:r>
          </w:p>
        </w:tc>
        <w:tc>
          <w:tcPr>
            <w:tcW w:w="1131" w:type="dxa"/>
          </w:tcPr>
          <w:p w14:paraId="53C7D202"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0: 6 (2.9%); 1: 87 (42.6%); 2: 111 (54.4%)</w:t>
            </w:r>
          </w:p>
        </w:tc>
        <w:tc>
          <w:tcPr>
            <w:tcW w:w="1131" w:type="dxa"/>
          </w:tcPr>
          <w:p w14:paraId="33D077C3"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204</w:t>
            </w:r>
          </w:p>
        </w:tc>
        <w:tc>
          <w:tcPr>
            <w:tcW w:w="1131" w:type="dxa"/>
          </w:tcPr>
          <w:p w14:paraId="5F8F2FEE"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-2.29</w:t>
            </w:r>
          </w:p>
        </w:tc>
        <w:tc>
          <w:tcPr>
            <w:tcW w:w="1131" w:type="dxa"/>
          </w:tcPr>
          <w:p w14:paraId="132EB13A"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-2.69 to -1.76</w:t>
            </w:r>
          </w:p>
        </w:tc>
        <w:tc>
          <w:tcPr>
            <w:tcW w:w="1131" w:type="dxa"/>
          </w:tcPr>
          <w:p w14:paraId="0151C9E7"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0.000</w:t>
            </w:r>
          </w:p>
        </w:tc>
        <w:tc>
          <w:tcPr>
            <w:tcW w:w="1131" w:type="dxa"/>
          </w:tcPr>
          <w:p w14:paraId="39BB4F80"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0.050</w:t>
            </w:r>
          </w:p>
        </w:tc>
      </w:tr>
      <w:tr w:rsidR="00B940BA" w:rsidRPr="00CA1B76" w14:paraId="125B597E" w14:textId="77777777" w:rsidTr="00CA1B76">
        <w:tc>
          <w:tcPr>
            <w:tcW w:w="1131" w:type="dxa"/>
            <w:tcBorders>
              <w:bottom w:val="single" w:sz="4" w:space="0" w:color="auto"/>
            </w:tcBorders>
          </w:tcPr>
          <w:p w14:paraId="45C0F0B3"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3</w:t>
            </w:r>
          </w:p>
        </w:tc>
        <w:tc>
          <w:tcPr>
            <w:tcW w:w="1131" w:type="dxa"/>
            <w:tcBorders>
              <w:bottom w:val="single" w:sz="4" w:space="0" w:color="auto"/>
            </w:tcBorders>
          </w:tcPr>
          <w:p w14:paraId="15DECD22"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0: 8 (3.9%); 1: 87 (42.6%); 2: 69 (33.8%); 3: 40 (19.6%)</w:t>
            </w:r>
          </w:p>
        </w:tc>
        <w:tc>
          <w:tcPr>
            <w:tcW w:w="1131" w:type="dxa"/>
            <w:tcBorders>
              <w:bottom w:val="single" w:sz="4" w:space="0" w:color="auto"/>
            </w:tcBorders>
          </w:tcPr>
          <w:p w14:paraId="1F705D7B"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204</w:t>
            </w:r>
          </w:p>
        </w:tc>
        <w:tc>
          <w:tcPr>
            <w:tcW w:w="1131" w:type="dxa"/>
            <w:tcBorders>
              <w:bottom w:val="single" w:sz="4" w:space="0" w:color="auto"/>
            </w:tcBorders>
          </w:tcPr>
          <w:p w14:paraId="34BF0024"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-2.30</w:t>
            </w:r>
          </w:p>
        </w:tc>
        <w:tc>
          <w:tcPr>
            <w:tcW w:w="1131" w:type="dxa"/>
            <w:tcBorders>
              <w:bottom w:val="single" w:sz="4" w:space="0" w:color="auto"/>
            </w:tcBorders>
          </w:tcPr>
          <w:p w14:paraId="1E75315C"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-2.69 to -1.76</w:t>
            </w:r>
          </w:p>
        </w:tc>
        <w:tc>
          <w:tcPr>
            <w:tcW w:w="1131" w:type="dxa"/>
            <w:tcBorders>
              <w:bottom w:val="single" w:sz="4" w:space="0" w:color="auto"/>
            </w:tcBorders>
          </w:tcPr>
          <w:p w14:paraId="10F34674"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0.000</w:t>
            </w:r>
          </w:p>
        </w:tc>
        <w:tc>
          <w:tcPr>
            <w:tcW w:w="1131" w:type="dxa"/>
            <w:tcBorders>
              <w:bottom w:val="single" w:sz="4" w:space="0" w:color="auto"/>
            </w:tcBorders>
          </w:tcPr>
          <w:p w14:paraId="5FE2942D"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0.000</w:t>
            </w:r>
          </w:p>
        </w:tc>
      </w:tr>
    </w:tbl>
    <w:p w14:paraId="5584F3C4" w14:textId="6212C51F" w:rsidR="00B940BA" w:rsidRPr="00CA1B76" w:rsidRDefault="002C2741" w:rsidP="006413D0">
      <w:pPr>
        <w:pStyle w:val="a0"/>
        <w:jc w:val="both"/>
        <w:rPr>
          <w:rFonts w:ascii="Times New Roman" w:hAnsi="Times New Roman" w:cs="Times New Roman"/>
        </w:rPr>
      </w:pPr>
      <w:r w:rsidRPr="00CA1B76">
        <w:rPr>
          <w:rFonts w:ascii="Times New Roman" w:hAnsi="Times New Roman" w:cs="Times New Roman"/>
          <w:b/>
          <w:bCs/>
        </w:rPr>
        <w:t xml:space="preserve">Supplementary Table </w:t>
      </w:r>
      <w:r w:rsidR="00CA1B76" w:rsidRPr="00CA1B76">
        <w:rPr>
          <w:rFonts w:ascii="Times New Roman" w:hAnsi="Times New Roman" w:cs="Times New Roman"/>
          <w:b/>
          <w:bCs/>
        </w:rPr>
        <w:t>10</w:t>
      </w:r>
      <w:r w:rsidRPr="00CA1B76">
        <w:rPr>
          <w:rFonts w:ascii="Times New Roman" w:hAnsi="Times New Roman" w:cs="Times New Roman"/>
          <w:b/>
          <w:bCs/>
        </w:rPr>
        <w:t xml:space="preserve">. Decomposition of changes in global prevalent LTBI cases into population growth, population ageing, and </w:t>
      </w:r>
      <w:r w:rsidRPr="00CA1B76">
        <w:rPr>
          <w:rFonts w:ascii="Times New Roman" w:hAnsi="Times New Roman" w:cs="Times New Roman"/>
          <w:b/>
          <w:bCs/>
        </w:rPr>
        <w:t>epidemiologic change.</w:t>
      </w:r>
    </w:p>
    <w:tbl>
      <w:tblPr>
        <w:tblStyle w:val="Table"/>
        <w:tblW w:w="5000" w:type="pct"/>
        <w:tblLayout w:type="fixed"/>
        <w:tblLook w:val="0020" w:firstRow="1" w:lastRow="0" w:firstColumn="0" w:lastColumn="0" w:noHBand="0" w:noVBand="0"/>
      </w:tblPr>
      <w:tblGrid>
        <w:gridCol w:w="1772"/>
        <w:gridCol w:w="1771"/>
        <w:gridCol w:w="1771"/>
        <w:gridCol w:w="1771"/>
        <w:gridCol w:w="1771"/>
      </w:tblGrid>
      <w:tr w:rsidR="00B940BA" w:rsidRPr="00CA1B76" w14:paraId="46AD3C1D" w14:textId="77777777" w:rsidTr="00CA1B76">
        <w:trPr>
          <w:cnfStyle w:val="100000000000" w:firstRow="1" w:lastRow="0" w:firstColumn="0" w:lastColumn="0" w:oddVBand="0" w:evenVBand="0" w:oddHBand="0" w:evenHBand="0" w:firstRowFirstColumn="0" w:firstRowLastColumn="0" w:lastRowFirstColumn="0" w:lastRowLastColumn="0"/>
          <w:tblHeader/>
        </w:trPr>
        <w:tc>
          <w:tcPr>
            <w:tcW w:w="1584" w:type="dxa"/>
            <w:tcBorders>
              <w:top w:val="single" w:sz="4" w:space="0" w:color="auto"/>
            </w:tcBorders>
          </w:tcPr>
          <w:p w14:paraId="68887A7F"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Comparison period</w:t>
            </w:r>
          </w:p>
        </w:tc>
        <w:tc>
          <w:tcPr>
            <w:tcW w:w="1584" w:type="dxa"/>
            <w:tcBorders>
              <w:top w:val="single" w:sz="4" w:space="0" w:color="auto"/>
            </w:tcBorders>
          </w:tcPr>
          <w:p w14:paraId="56D0413D"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Component</w:t>
            </w:r>
          </w:p>
        </w:tc>
        <w:tc>
          <w:tcPr>
            <w:tcW w:w="1584" w:type="dxa"/>
            <w:tcBorders>
              <w:top w:val="single" w:sz="4" w:space="0" w:color="auto"/>
            </w:tcBorders>
          </w:tcPr>
          <w:p w14:paraId="0E63989B"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Contribution (million cases)</w:t>
            </w:r>
          </w:p>
        </w:tc>
        <w:tc>
          <w:tcPr>
            <w:tcW w:w="1584" w:type="dxa"/>
            <w:tcBorders>
              <w:top w:val="single" w:sz="4" w:space="0" w:color="auto"/>
            </w:tcBorders>
          </w:tcPr>
          <w:p w14:paraId="1DE224D0"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Contribution (% of total change)</w:t>
            </w:r>
          </w:p>
        </w:tc>
        <w:tc>
          <w:tcPr>
            <w:tcW w:w="1584" w:type="dxa"/>
            <w:tcBorders>
              <w:top w:val="single" w:sz="4" w:space="0" w:color="auto"/>
            </w:tcBorders>
          </w:tcPr>
          <w:p w14:paraId="07AB0360"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Total change (million cases)</w:t>
            </w:r>
          </w:p>
        </w:tc>
      </w:tr>
      <w:tr w:rsidR="00B940BA" w:rsidRPr="00CA1B76" w14:paraId="4CE814DE" w14:textId="77777777">
        <w:tc>
          <w:tcPr>
            <w:tcW w:w="1584" w:type="dxa"/>
          </w:tcPr>
          <w:p w14:paraId="7EE7EDE3"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Observed 1990 to 2023</w:t>
            </w:r>
          </w:p>
        </w:tc>
        <w:tc>
          <w:tcPr>
            <w:tcW w:w="1584" w:type="dxa"/>
          </w:tcPr>
          <w:p w14:paraId="229E1700"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Population growth</w:t>
            </w:r>
          </w:p>
        </w:tc>
        <w:tc>
          <w:tcPr>
            <w:tcW w:w="1584" w:type="dxa"/>
          </w:tcPr>
          <w:p w14:paraId="25E52674"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725.19</w:t>
            </w:r>
          </w:p>
        </w:tc>
        <w:tc>
          <w:tcPr>
            <w:tcW w:w="1584" w:type="dxa"/>
          </w:tcPr>
          <w:p w14:paraId="6301069B"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257.3%</w:t>
            </w:r>
          </w:p>
        </w:tc>
        <w:tc>
          <w:tcPr>
            <w:tcW w:w="1584" w:type="dxa"/>
          </w:tcPr>
          <w:p w14:paraId="396759AD"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281.87</w:t>
            </w:r>
          </w:p>
        </w:tc>
      </w:tr>
      <w:tr w:rsidR="00B940BA" w:rsidRPr="00CA1B76" w14:paraId="1BEB78AD" w14:textId="77777777">
        <w:tc>
          <w:tcPr>
            <w:tcW w:w="1584" w:type="dxa"/>
          </w:tcPr>
          <w:p w14:paraId="7E756C60"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Observed 1990 to 2023</w:t>
            </w:r>
          </w:p>
        </w:tc>
        <w:tc>
          <w:tcPr>
            <w:tcW w:w="1584" w:type="dxa"/>
          </w:tcPr>
          <w:p w14:paraId="79CB9602"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Population ageing</w:t>
            </w:r>
          </w:p>
        </w:tc>
        <w:tc>
          <w:tcPr>
            <w:tcW w:w="1584" w:type="dxa"/>
          </w:tcPr>
          <w:p w14:paraId="1246C3BD"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66.94</w:t>
            </w:r>
          </w:p>
        </w:tc>
        <w:tc>
          <w:tcPr>
            <w:tcW w:w="1584" w:type="dxa"/>
          </w:tcPr>
          <w:p w14:paraId="3FCFEAA0"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23.7%</w:t>
            </w:r>
          </w:p>
        </w:tc>
        <w:tc>
          <w:tcPr>
            <w:tcW w:w="1584" w:type="dxa"/>
          </w:tcPr>
          <w:p w14:paraId="2668C21C"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281.87</w:t>
            </w:r>
          </w:p>
        </w:tc>
      </w:tr>
      <w:tr w:rsidR="00B940BA" w:rsidRPr="00CA1B76" w14:paraId="35496B58" w14:textId="77777777">
        <w:tc>
          <w:tcPr>
            <w:tcW w:w="1584" w:type="dxa"/>
          </w:tcPr>
          <w:p w14:paraId="338149C8"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Observed 1990 to 2023</w:t>
            </w:r>
          </w:p>
        </w:tc>
        <w:tc>
          <w:tcPr>
            <w:tcW w:w="1584" w:type="dxa"/>
          </w:tcPr>
          <w:p w14:paraId="01F85BB2"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Epidemiologic change</w:t>
            </w:r>
          </w:p>
        </w:tc>
        <w:tc>
          <w:tcPr>
            <w:tcW w:w="1584" w:type="dxa"/>
          </w:tcPr>
          <w:p w14:paraId="2FE26D91"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-510.26</w:t>
            </w:r>
          </w:p>
        </w:tc>
        <w:tc>
          <w:tcPr>
            <w:tcW w:w="1584" w:type="dxa"/>
          </w:tcPr>
          <w:p w14:paraId="1C922C78"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-181.0%</w:t>
            </w:r>
          </w:p>
        </w:tc>
        <w:tc>
          <w:tcPr>
            <w:tcW w:w="1584" w:type="dxa"/>
          </w:tcPr>
          <w:p w14:paraId="2EC0CB71"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281.87</w:t>
            </w:r>
          </w:p>
        </w:tc>
      </w:tr>
      <w:tr w:rsidR="00B940BA" w:rsidRPr="00CA1B76" w14:paraId="39FC92AA" w14:textId="77777777">
        <w:tc>
          <w:tcPr>
            <w:tcW w:w="1584" w:type="dxa"/>
          </w:tcPr>
          <w:p w14:paraId="5CA7D8C6"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Projected 2024 to 2050</w:t>
            </w:r>
          </w:p>
        </w:tc>
        <w:tc>
          <w:tcPr>
            <w:tcW w:w="1584" w:type="dxa"/>
          </w:tcPr>
          <w:p w14:paraId="2E33FA8C"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Population growth</w:t>
            </w:r>
          </w:p>
        </w:tc>
        <w:tc>
          <w:tcPr>
            <w:tcW w:w="1584" w:type="dxa"/>
          </w:tcPr>
          <w:p w14:paraId="1B1FA5CD" w14:textId="245FE080" w:rsidR="00B940BA" w:rsidRPr="00CA1B76" w:rsidRDefault="002264EA" w:rsidP="006413D0">
            <w:pPr>
              <w:pStyle w:val="Compact"/>
              <w:jc w:val="both"/>
              <w:rPr>
                <w:rFonts w:ascii="Times New Roman" w:hAnsi="Times New Roman" w:cs="Times New Roman"/>
              </w:rPr>
            </w:pPr>
            <w:r w:rsidRPr="002264EA">
              <w:rPr>
                <w:rFonts w:ascii="Times New Roman" w:hAnsi="Times New Roman" w:cs="Times New Roman"/>
              </w:rPr>
              <w:t>352.21</w:t>
            </w:r>
          </w:p>
        </w:tc>
        <w:tc>
          <w:tcPr>
            <w:tcW w:w="1584" w:type="dxa"/>
          </w:tcPr>
          <w:p w14:paraId="28287441" w14:textId="26F376A2" w:rsidR="00B940BA" w:rsidRPr="00CA1B76" w:rsidRDefault="002264EA" w:rsidP="006413D0">
            <w:pPr>
              <w:pStyle w:val="Compact"/>
              <w:jc w:val="both"/>
              <w:rPr>
                <w:rFonts w:ascii="Times New Roman" w:hAnsi="Times New Roman" w:cs="Times New Roman"/>
              </w:rPr>
            </w:pPr>
            <w:r w:rsidRPr="002264EA">
              <w:rPr>
                <w:rFonts w:ascii="Times New Roman" w:hAnsi="Times New Roman" w:cs="Times New Roman"/>
              </w:rPr>
              <w:t>88.3</w:t>
            </w:r>
            <w:r w:rsidRPr="00CA1B76">
              <w:rPr>
                <w:rFonts w:ascii="Times New Roman" w:hAnsi="Times New Roman" w:cs="Times New Roman"/>
              </w:rPr>
              <w:t>%</w:t>
            </w:r>
          </w:p>
        </w:tc>
        <w:tc>
          <w:tcPr>
            <w:tcW w:w="1584" w:type="dxa"/>
          </w:tcPr>
          <w:p w14:paraId="33009FBB" w14:textId="380205AE" w:rsidR="00B940BA" w:rsidRPr="00CA1B76" w:rsidRDefault="009F7BA0" w:rsidP="006413D0">
            <w:pPr>
              <w:pStyle w:val="Compact"/>
              <w:jc w:val="both"/>
              <w:rPr>
                <w:rFonts w:ascii="Times New Roman" w:hAnsi="Times New Roman" w:cs="Times New Roman"/>
              </w:rPr>
            </w:pPr>
            <w:bookmarkStart w:id="2" w:name="OLE_LINK45"/>
            <w:r>
              <w:rPr>
                <w:rFonts w:ascii="Times New Roman" w:hAnsi="Times New Roman" w:cs="Times New Roman" w:hint="eastAsia"/>
              </w:rPr>
              <w:t>398.84</w:t>
            </w:r>
            <w:bookmarkEnd w:id="2"/>
          </w:p>
        </w:tc>
      </w:tr>
      <w:tr w:rsidR="00B940BA" w:rsidRPr="00CA1B76" w14:paraId="14306C60" w14:textId="77777777">
        <w:tc>
          <w:tcPr>
            <w:tcW w:w="1584" w:type="dxa"/>
          </w:tcPr>
          <w:p w14:paraId="29935369"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Projected 2024 to 2050</w:t>
            </w:r>
          </w:p>
        </w:tc>
        <w:tc>
          <w:tcPr>
            <w:tcW w:w="1584" w:type="dxa"/>
          </w:tcPr>
          <w:p w14:paraId="13F399D8"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Population ageing</w:t>
            </w:r>
          </w:p>
        </w:tc>
        <w:tc>
          <w:tcPr>
            <w:tcW w:w="1584" w:type="dxa"/>
          </w:tcPr>
          <w:p w14:paraId="0361BDE0" w14:textId="2C3CA987" w:rsidR="00B940BA" w:rsidRPr="00CA1B76" w:rsidRDefault="002264EA" w:rsidP="006413D0">
            <w:pPr>
              <w:pStyle w:val="Compact"/>
              <w:jc w:val="both"/>
              <w:rPr>
                <w:rFonts w:ascii="Times New Roman" w:hAnsi="Times New Roman" w:cs="Times New Roman"/>
              </w:rPr>
            </w:pPr>
            <w:r w:rsidRPr="002264EA">
              <w:rPr>
                <w:rFonts w:ascii="Times New Roman" w:hAnsi="Times New Roman" w:cs="Times New Roman"/>
              </w:rPr>
              <w:t>47.05</w:t>
            </w:r>
          </w:p>
        </w:tc>
        <w:tc>
          <w:tcPr>
            <w:tcW w:w="1584" w:type="dxa"/>
          </w:tcPr>
          <w:p w14:paraId="57BDFC03" w14:textId="0958863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1</w:t>
            </w:r>
            <w:r w:rsidR="002264EA">
              <w:rPr>
                <w:rFonts w:ascii="Times New Roman" w:hAnsi="Times New Roman" w:cs="Times New Roman" w:hint="eastAsia"/>
              </w:rPr>
              <w:t>1.8</w:t>
            </w:r>
            <w:r w:rsidRPr="00CA1B76">
              <w:rPr>
                <w:rFonts w:ascii="Times New Roman" w:hAnsi="Times New Roman" w:cs="Times New Roman"/>
              </w:rPr>
              <w:t>%</w:t>
            </w:r>
          </w:p>
        </w:tc>
        <w:tc>
          <w:tcPr>
            <w:tcW w:w="1584" w:type="dxa"/>
          </w:tcPr>
          <w:p w14:paraId="2E79DD6D" w14:textId="4F2C9EE2" w:rsidR="00B940BA" w:rsidRPr="00CA1B76" w:rsidRDefault="009F7BA0" w:rsidP="006413D0">
            <w:pPr>
              <w:pStyle w:val="Compact"/>
              <w:jc w:val="both"/>
              <w:rPr>
                <w:rFonts w:ascii="Times New Roman" w:hAnsi="Times New Roman" w:cs="Times New Roman"/>
              </w:rPr>
            </w:pPr>
            <w:r w:rsidRPr="009F7BA0">
              <w:rPr>
                <w:rFonts w:ascii="Times New Roman" w:hAnsi="Times New Roman" w:cs="Times New Roman"/>
              </w:rPr>
              <w:t>398.84</w:t>
            </w:r>
          </w:p>
        </w:tc>
      </w:tr>
      <w:tr w:rsidR="00B940BA" w:rsidRPr="00CA1B76" w14:paraId="708CF250" w14:textId="77777777" w:rsidTr="00CA1B76">
        <w:tc>
          <w:tcPr>
            <w:tcW w:w="1584" w:type="dxa"/>
            <w:tcBorders>
              <w:bottom w:val="single" w:sz="4" w:space="0" w:color="auto"/>
            </w:tcBorders>
          </w:tcPr>
          <w:p w14:paraId="20BA672F"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Projected 2024 to 2050</w:t>
            </w:r>
          </w:p>
        </w:tc>
        <w:tc>
          <w:tcPr>
            <w:tcW w:w="1584" w:type="dxa"/>
            <w:tcBorders>
              <w:bottom w:val="single" w:sz="4" w:space="0" w:color="auto"/>
            </w:tcBorders>
          </w:tcPr>
          <w:p w14:paraId="2A15346B" w14:textId="77777777"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Epidemiologic change</w:t>
            </w:r>
          </w:p>
        </w:tc>
        <w:tc>
          <w:tcPr>
            <w:tcW w:w="1584" w:type="dxa"/>
            <w:tcBorders>
              <w:bottom w:val="single" w:sz="4" w:space="0" w:color="auto"/>
            </w:tcBorders>
          </w:tcPr>
          <w:p w14:paraId="0A88A525" w14:textId="085AF1CA"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w:t>
            </w:r>
            <w:r w:rsidR="002264EA">
              <w:rPr>
                <w:rFonts w:ascii="Times New Roman" w:hAnsi="Times New Roman" w:cs="Times New Roman" w:hint="eastAsia"/>
              </w:rPr>
              <w:t>0.42</w:t>
            </w:r>
          </w:p>
        </w:tc>
        <w:tc>
          <w:tcPr>
            <w:tcW w:w="1584" w:type="dxa"/>
            <w:tcBorders>
              <w:bottom w:val="single" w:sz="4" w:space="0" w:color="auto"/>
            </w:tcBorders>
          </w:tcPr>
          <w:p w14:paraId="37343FBA" w14:textId="6FFAB3E1" w:rsidR="00B940BA" w:rsidRPr="00CA1B76" w:rsidRDefault="002C2741" w:rsidP="006413D0">
            <w:pPr>
              <w:pStyle w:val="Compact"/>
              <w:jc w:val="both"/>
              <w:rPr>
                <w:rFonts w:ascii="Times New Roman" w:hAnsi="Times New Roman" w:cs="Times New Roman"/>
              </w:rPr>
            </w:pPr>
            <w:r w:rsidRPr="00CA1B76">
              <w:rPr>
                <w:rFonts w:ascii="Times New Roman" w:hAnsi="Times New Roman" w:cs="Times New Roman"/>
              </w:rPr>
              <w:t>-</w:t>
            </w:r>
            <w:r w:rsidR="002264EA">
              <w:rPr>
                <w:rFonts w:ascii="Times New Roman" w:hAnsi="Times New Roman" w:cs="Times New Roman" w:hint="eastAsia"/>
              </w:rPr>
              <w:t>0.1</w:t>
            </w:r>
            <w:r w:rsidRPr="00CA1B76">
              <w:rPr>
                <w:rFonts w:ascii="Times New Roman" w:hAnsi="Times New Roman" w:cs="Times New Roman"/>
              </w:rPr>
              <w:t>%</w:t>
            </w:r>
          </w:p>
        </w:tc>
        <w:tc>
          <w:tcPr>
            <w:tcW w:w="1584" w:type="dxa"/>
            <w:tcBorders>
              <w:bottom w:val="single" w:sz="4" w:space="0" w:color="auto"/>
            </w:tcBorders>
          </w:tcPr>
          <w:p w14:paraId="6A7DA0C1" w14:textId="4310091E" w:rsidR="00B940BA" w:rsidRPr="00CA1B76" w:rsidRDefault="009F7BA0" w:rsidP="006413D0">
            <w:pPr>
              <w:pStyle w:val="Compact"/>
              <w:jc w:val="both"/>
              <w:rPr>
                <w:rFonts w:ascii="Times New Roman" w:hAnsi="Times New Roman" w:cs="Times New Roman"/>
              </w:rPr>
            </w:pPr>
            <w:r w:rsidRPr="009F7BA0">
              <w:rPr>
                <w:rFonts w:ascii="Times New Roman" w:hAnsi="Times New Roman" w:cs="Times New Roman"/>
              </w:rPr>
              <w:t>398.84</w:t>
            </w:r>
          </w:p>
        </w:tc>
      </w:tr>
      <w:bookmarkEnd w:id="0"/>
    </w:tbl>
    <w:p w14:paraId="0F4A0C33" w14:textId="77777777" w:rsidR="0064213F" w:rsidRPr="00CA1B76" w:rsidRDefault="0064213F" w:rsidP="006413D0">
      <w:pPr>
        <w:pStyle w:val="a0"/>
        <w:jc w:val="both"/>
        <w:rPr>
          <w:rFonts w:ascii="Times New Roman" w:hAnsi="Times New Roman" w:cs="Times New Roman"/>
        </w:rPr>
      </w:pPr>
    </w:p>
    <w:sectPr w:rsidR="0064213F" w:rsidRPr="00CA1B76">
      <w:footnotePr>
        <w:numRestart w:val="eachSect"/>
      </w:footnotePr>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C1C883" w14:textId="77777777" w:rsidR="00F12932" w:rsidRDefault="00F12932" w:rsidP="00CA1B76">
      <w:pPr>
        <w:spacing w:after="0"/>
      </w:pPr>
      <w:r>
        <w:separator/>
      </w:r>
    </w:p>
  </w:endnote>
  <w:endnote w:type="continuationSeparator" w:id="0">
    <w:p w14:paraId="2E2DEDD1" w14:textId="77777777" w:rsidR="00F12932" w:rsidRDefault="00F12932" w:rsidP="00CA1B7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altName w:val="Calibri"/>
    <w:charset w:val="00"/>
    <w:family w:val="swiss"/>
    <w:pitch w:val="variable"/>
    <w:sig w:usb0="20000287" w:usb1="00000003" w:usb2="00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Aptos Display">
    <w:altName w:val="Calibri"/>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28DDE4" w14:textId="77777777" w:rsidR="00F12932" w:rsidRDefault="00F12932" w:rsidP="00CA1B76">
      <w:pPr>
        <w:spacing w:after="0"/>
      </w:pPr>
      <w:r>
        <w:separator/>
      </w:r>
    </w:p>
  </w:footnote>
  <w:footnote w:type="continuationSeparator" w:id="0">
    <w:p w14:paraId="6753DED6" w14:textId="77777777" w:rsidR="00F12932" w:rsidRDefault="00F12932" w:rsidP="00CA1B76">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A990"/>
    <w:multiLevelType w:val="multilevel"/>
    <w:tmpl w:val="1C16B8E8"/>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720"/>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B940BA"/>
    <w:rsid w:val="0007476D"/>
    <w:rsid w:val="002264EA"/>
    <w:rsid w:val="002C2741"/>
    <w:rsid w:val="003C1983"/>
    <w:rsid w:val="006413D0"/>
    <w:rsid w:val="0064213F"/>
    <w:rsid w:val="007B2502"/>
    <w:rsid w:val="009F7BA0"/>
    <w:rsid w:val="00AD3812"/>
    <w:rsid w:val="00B940BA"/>
    <w:rsid w:val="00C369EB"/>
    <w:rsid w:val="00C57F74"/>
    <w:rsid w:val="00CA1B76"/>
    <w:rsid w:val="00DD0390"/>
    <w:rsid w:val="00F067A4"/>
    <w:rsid w:val="00F12932"/>
    <w:rsid w:val="00FA20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0CB05F"/>
  <w15:docId w15:val="{BF87B6F3-B294-4F78-91E8-7285389BFF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pPr>
        <w:spacing w:after="200"/>
      </w:pPr>
    </w:pPrDefault>
  </w:docDefaults>
  <w:latentStyles w:defLockedState="0" w:defUIPriority="0" w:defSemiHidden="0" w:defUnhideWhenUsed="0" w:defQFormat="0" w:count="376">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style>
  <w:style w:type="paragraph" w:styleId="1">
    <w:name w:val="heading 1"/>
    <w:basedOn w:val="a"/>
    <w:next w:val="a0"/>
    <w:link w:val="10"/>
    <w:uiPriority w:val="9"/>
    <w:qFormat/>
    <w:rsid w:val="00A10FD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2">
    <w:name w:val="heading 2"/>
    <w:basedOn w:val="a"/>
    <w:next w:val="a0"/>
    <w:link w:val="20"/>
    <w:uiPriority w:val="9"/>
    <w:semiHidden/>
    <w:unhideWhenUsed/>
    <w:qFormat/>
    <w:rsid w:val="00A10FD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3">
    <w:name w:val="heading 3"/>
    <w:basedOn w:val="a"/>
    <w:next w:val="a0"/>
    <w:link w:val="30"/>
    <w:uiPriority w:val="9"/>
    <w:semiHidden/>
    <w:unhideWhenUsed/>
    <w:qFormat/>
    <w:rsid w:val="00A10FD9"/>
    <w:pPr>
      <w:keepNext/>
      <w:keepLines/>
      <w:spacing w:before="160" w:after="80"/>
      <w:outlineLvl w:val="2"/>
    </w:pPr>
    <w:rPr>
      <w:rFonts w:eastAsiaTheme="majorEastAsia" w:cstheme="majorBidi"/>
      <w:color w:val="0F4761" w:themeColor="accent1" w:themeShade="BF"/>
      <w:sz w:val="28"/>
      <w:szCs w:val="28"/>
    </w:rPr>
  </w:style>
  <w:style w:type="paragraph" w:styleId="4">
    <w:name w:val="heading 4"/>
    <w:basedOn w:val="a"/>
    <w:next w:val="a0"/>
    <w:link w:val="40"/>
    <w:uiPriority w:val="9"/>
    <w:semiHidden/>
    <w:unhideWhenUsed/>
    <w:qFormat/>
    <w:rsid w:val="00A10FD9"/>
    <w:pPr>
      <w:keepNext/>
      <w:keepLines/>
      <w:spacing w:before="80" w:after="40"/>
      <w:outlineLvl w:val="3"/>
    </w:pPr>
    <w:rPr>
      <w:rFonts w:eastAsiaTheme="majorEastAsia" w:cstheme="majorBidi"/>
      <w:i/>
      <w:iCs/>
      <w:color w:val="0F4761" w:themeColor="accent1" w:themeShade="BF"/>
    </w:rPr>
  </w:style>
  <w:style w:type="paragraph" w:styleId="5">
    <w:name w:val="heading 5"/>
    <w:basedOn w:val="a"/>
    <w:next w:val="a0"/>
    <w:link w:val="50"/>
    <w:uiPriority w:val="9"/>
    <w:semiHidden/>
    <w:unhideWhenUsed/>
    <w:qFormat/>
    <w:rsid w:val="00A10FD9"/>
    <w:pPr>
      <w:keepNext/>
      <w:keepLines/>
      <w:spacing w:before="80" w:after="40"/>
      <w:outlineLvl w:val="4"/>
    </w:pPr>
    <w:rPr>
      <w:rFonts w:eastAsiaTheme="majorEastAsia" w:cstheme="majorBidi"/>
      <w:color w:val="0F4761" w:themeColor="accent1" w:themeShade="BF"/>
    </w:rPr>
  </w:style>
  <w:style w:type="paragraph" w:styleId="6">
    <w:name w:val="heading 6"/>
    <w:basedOn w:val="a"/>
    <w:next w:val="a0"/>
    <w:link w:val="60"/>
    <w:uiPriority w:val="9"/>
    <w:semiHidden/>
    <w:unhideWhenUsed/>
    <w:qFormat/>
    <w:rsid w:val="00A10FD9"/>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0"/>
    <w:link w:val="70"/>
    <w:uiPriority w:val="9"/>
    <w:semiHidden/>
    <w:unhideWhenUsed/>
    <w:qFormat/>
    <w:rsid w:val="00A10FD9"/>
    <w:pPr>
      <w:keepNext/>
      <w:keepLines/>
      <w:spacing w:before="40" w:after="0"/>
      <w:outlineLvl w:val="6"/>
    </w:pPr>
    <w:rPr>
      <w:rFonts w:eastAsiaTheme="majorEastAsia" w:cstheme="majorBidi"/>
      <w:color w:val="595959" w:themeColor="text1" w:themeTint="A6"/>
    </w:rPr>
  </w:style>
  <w:style w:type="paragraph" w:styleId="8">
    <w:name w:val="heading 8"/>
    <w:basedOn w:val="a"/>
    <w:next w:val="a0"/>
    <w:link w:val="80"/>
    <w:uiPriority w:val="9"/>
    <w:semiHidden/>
    <w:unhideWhenUsed/>
    <w:qFormat/>
    <w:rsid w:val="00A10FD9"/>
    <w:pPr>
      <w:keepNext/>
      <w:keepLines/>
      <w:spacing w:after="0"/>
      <w:outlineLvl w:val="7"/>
    </w:pPr>
    <w:rPr>
      <w:rFonts w:eastAsiaTheme="majorEastAsia" w:cstheme="majorBidi"/>
      <w:i/>
      <w:iCs/>
      <w:color w:val="272727" w:themeColor="text1" w:themeTint="D8"/>
    </w:rPr>
  </w:style>
  <w:style w:type="paragraph" w:styleId="9">
    <w:name w:val="heading 9"/>
    <w:basedOn w:val="a"/>
    <w:next w:val="a0"/>
    <w:link w:val="90"/>
    <w:uiPriority w:val="9"/>
    <w:semiHidden/>
    <w:unhideWhenUsed/>
    <w:qFormat/>
    <w:rsid w:val="00A10FD9"/>
    <w:pPr>
      <w:keepNext/>
      <w:keepLines/>
      <w:spacing w:after="0"/>
      <w:outlineLvl w:val="8"/>
    </w:pPr>
    <w:rPr>
      <w:rFonts w:eastAsiaTheme="majorEastAsia" w:cstheme="majorBidi"/>
      <w:color w:val="272727" w:themeColor="text1" w:themeTint="D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qFormat/>
    <w:pPr>
      <w:spacing w:before="180" w:after="180"/>
    </w:pPr>
  </w:style>
  <w:style w:type="paragraph" w:customStyle="1" w:styleId="FirstParagraph">
    <w:name w:val="First Paragraph"/>
    <w:basedOn w:val="a0"/>
    <w:next w:val="a0"/>
    <w:qFormat/>
  </w:style>
  <w:style w:type="paragraph" w:customStyle="1" w:styleId="Compact">
    <w:name w:val="Compact"/>
    <w:basedOn w:val="a0"/>
    <w:qFormat/>
    <w:pPr>
      <w:spacing w:before="36" w:after="36"/>
    </w:pPr>
  </w:style>
  <w:style w:type="paragraph" w:styleId="a4">
    <w:name w:val="Title"/>
    <w:basedOn w:val="a"/>
    <w:next w:val="a0"/>
    <w:link w:val="a5"/>
    <w:uiPriority w:val="10"/>
    <w:qFormat/>
    <w:rsid w:val="00A10FD9"/>
    <w:pPr>
      <w:spacing w:after="80"/>
      <w:contextualSpacing/>
      <w:jc w:val="center"/>
    </w:pPr>
    <w:rPr>
      <w:rFonts w:asciiTheme="majorHAnsi" w:eastAsiaTheme="majorEastAsia" w:hAnsiTheme="majorHAnsi" w:cstheme="majorBidi"/>
      <w:sz w:val="56"/>
      <w:szCs w:val="56"/>
    </w:rPr>
  </w:style>
  <w:style w:type="character" w:customStyle="1" w:styleId="a5">
    <w:name w:val="标题 字符"/>
    <w:basedOn w:val="a1"/>
    <w:link w:val="a4"/>
    <w:uiPriority w:val="10"/>
    <w:rsid w:val="00A10FD9"/>
    <w:rPr>
      <w:rFonts w:asciiTheme="majorHAnsi" w:eastAsiaTheme="majorEastAsia" w:hAnsiTheme="majorHAnsi" w:cstheme="majorBidi"/>
      <w:sz w:val="56"/>
      <w:szCs w:val="56"/>
    </w:rPr>
  </w:style>
  <w:style w:type="paragraph" w:styleId="a6">
    <w:name w:val="Subtitle"/>
    <w:basedOn w:val="a4"/>
    <w:next w:val="a0"/>
    <w:link w:val="a7"/>
    <w:uiPriority w:val="11"/>
    <w:qFormat/>
    <w:rsid w:val="00A10FD9"/>
    <w:pPr>
      <w:numPr>
        <w:ilvl w:val="1"/>
      </w:numPr>
    </w:pPr>
    <w:rPr>
      <w:spacing w:val="15"/>
      <w:sz w:val="28"/>
      <w:szCs w:val="28"/>
    </w:rPr>
  </w:style>
  <w:style w:type="character" w:customStyle="1" w:styleId="a7">
    <w:name w:val="副标题 字符"/>
    <w:basedOn w:val="a1"/>
    <w:link w:val="a6"/>
    <w:uiPriority w:val="11"/>
    <w:rsid w:val="00A10FD9"/>
    <w:rPr>
      <w:rFonts w:eastAsiaTheme="majorEastAsia" w:cstheme="majorBidi"/>
      <w:color w:val="595959" w:themeColor="text1" w:themeTint="A6"/>
      <w:spacing w:val="15"/>
      <w:sz w:val="28"/>
      <w:szCs w:val="28"/>
    </w:rPr>
  </w:style>
  <w:style w:type="paragraph" w:customStyle="1" w:styleId="Author">
    <w:name w:val="Author"/>
    <w:basedOn w:val="a4"/>
    <w:next w:val="a0"/>
    <w:qFormat/>
    <w:pPr>
      <w:keepNext/>
      <w:keepLines/>
    </w:pPr>
    <w:rPr>
      <w:sz w:val="24"/>
      <w:szCs w:val="24"/>
    </w:rPr>
  </w:style>
  <w:style w:type="paragraph" w:styleId="a8">
    <w:name w:val="Date"/>
    <w:basedOn w:val="a4"/>
    <w:next w:val="a0"/>
    <w:qFormat/>
    <w:pPr>
      <w:keepNext/>
      <w:keepLines/>
    </w:pPr>
    <w:rPr>
      <w:sz w:val="24"/>
      <w:szCs w:val="24"/>
    </w:rPr>
  </w:style>
  <w:style w:type="paragraph" w:customStyle="1" w:styleId="AbstractTitle">
    <w:name w:val="Abstract Title"/>
    <w:basedOn w:val="a"/>
    <w:next w:val="Abstract"/>
    <w:qFormat/>
    <w:pPr>
      <w:keepNext/>
      <w:keepLines/>
      <w:spacing w:before="300" w:after="0"/>
      <w:jc w:val="center"/>
    </w:pPr>
    <w:rPr>
      <w:b/>
      <w:sz w:val="20"/>
      <w:szCs w:val="20"/>
    </w:rPr>
  </w:style>
  <w:style w:type="paragraph" w:customStyle="1" w:styleId="Abstract">
    <w:name w:val="Abstract"/>
    <w:basedOn w:val="a"/>
    <w:next w:val="a0"/>
    <w:qFormat/>
    <w:pPr>
      <w:keepNext/>
      <w:keepLines/>
      <w:spacing w:before="100" w:after="300"/>
    </w:pPr>
    <w:rPr>
      <w:sz w:val="20"/>
      <w:szCs w:val="20"/>
    </w:rPr>
  </w:style>
  <w:style w:type="paragraph" w:styleId="a9">
    <w:name w:val="Bibliography"/>
    <w:basedOn w:val="a"/>
    <w:qFormat/>
  </w:style>
  <w:style w:type="character" w:customStyle="1" w:styleId="10">
    <w:name w:val="标题 1 字符"/>
    <w:basedOn w:val="a1"/>
    <w:link w:val="1"/>
    <w:uiPriority w:val="9"/>
    <w:rsid w:val="00A10FD9"/>
    <w:rPr>
      <w:rFonts w:asciiTheme="majorHAnsi" w:eastAsiaTheme="majorEastAsia" w:hAnsiTheme="majorHAnsi" w:cstheme="majorBidi"/>
      <w:color w:val="0F4761" w:themeColor="accent1" w:themeShade="BF"/>
      <w:sz w:val="40"/>
      <w:szCs w:val="40"/>
    </w:rPr>
  </w:style>
  <w:style w:type="character" w:customStyle="1" w:styleId="20">
    <w:name w:val="标题 2 字符"/>
    <w:basedOn w:val="a1"/>
    <w:link w:val="2"/>
    <w:uiPriority w:val="9"/>
    <w:semiHidden/>
    <w:rsid w:val="00A10FD9"/>
    <w:rPr>
      <w:rFonts w:asciiTheme="majorHAnsi" w:eastAsiaTheme="majorEastAsia" w:hAnsiTheme="majorHAnsi" w:cstheme="majorBidi"/>
      <w:color w:val="0F4761" w:themeColor="accent1" w:themeShade="BF"/>
      <w:sz w:val="32"/>
      <w:szCs w:val="32"/>
    </w:rPr>
  </w:style>
  <w:style w:type="character" w:customStyle="1" w:styleId="30">
    <w:name w:val="标题 3 字符"/>
    <w:basedOn w:val="a1"/>
    <w:link w:val="3"/>
    <w:uiPriority w:val="9"/>
    <w:semiHidden/>
    <w:rsid w:val="00A10FD9"/>
    <w:rPr>
      <w:rFonts w:eastAsiaTheme="majorEastAsia" w:cstheme="majorBidi"/>
      <w:color w:val="0F4761" w:themeColor="accent1" w:themeShade="BF"/>
      <w:sz w:val="28"/>
      <w:szCs w:val="28"/>
    </w:rPr>
  </w:style>
  <w:style w:type="character" w:customStyle="1" w:styleId="40">
    <w:name w:val="标题 4 字符"/>
    <w:basedOn w:val="a1"/>
    <w:link w:val="4"/>
    <w:uiPriority w:val="9"/>
    <w:semiHidden/>
    <w:rsid w:val="00A10FD9"/>
    <w:rPr>
      <w:rFonts w:eastAsiaTheme="majorEastAsia" w:cstheme="majorBidi"/>
      <w:i/>
      <w:iCs/>
      <w:color w:val="0F4761" w:themeColor="accent1" w:themeShade="BF"/>
    </w:rPr>
  </w:style>
  <w:style w:type="character" w:customStyle="1" w:styleId="50">
    <w:name w:val="标题 5 字符"/>
    <w:basedOn w:val="a1"/>
    <w:link w:val="5"/>
    <w:uiPriority w:val="9"/>
    <w:semiHidden/>
    <w:rsid w:val="00A10FD9"/>
    <w:rPr>
      <w:rFonts w:eastAsiaTheme="majorEastAsia" w:cstheme="majorBidi"/>
      <w:color w:val="0F4761" w:themeColor="accent1" w:themeShade="BF"/>
    </w:rPr>
  </w:style>
  <w:style w:type="character" w:customStyle="1" w:styleId="60">
    <w:name w:val="标题 6 字符"/>
    <w:basedOn w:val="a1"/>
    <w:link w:val="6"/>
    <w:uiPriority w:val="9"/>
    <w:semiHidden/>
    <w:rsid w:val="00A10FD9"/>
    <w:rPr>
      <w:rFonts w:eastAsiaTheme="majorEastAsia" w:cstheme="majorBidi"/>
      <w:i/>
      <w:iCs/>
      <w:color w:val="595959" w:themeColor="text1" w:themeTint="A6"/>
    </w:rPr>
  </w:style>
  <w:style w:type="character" w:customStyle="1" w:styleId="70">
    <w:name w:val="标题 7 字符"/>
    <w:basedOn w:val="a1"/>
    <w:link w:val="7"/>
    <w:uiPriority w:val="9"/>
    <w:semiHidden/>
    <w:rsid w:val="00A10FD9"/>
    <w:rPr>
      <w:rFonts w:eastAsiaTheme="majorEastAsia" w:cstheme="majorBidi"/>
      <w:color w:val="595959" w:themeColor="text1" w:themeTint="A6"/>
    </w:rPr>
  </w:style>
  <w:style w:type="character" w:customStyle="1" w:styleId="80">
    <w:name w:val="标题 8 字符"/>
    <w:basedOn w:val="a1"/>
    <w:link w:val="8"/>
    <w:uiPriority w:val="9"/>
    <w:semiHidden/>
    <w:rsid w:val="00A10FD9"/>
    <w:rPr>
      <w:rFonts w:eastAsiaTheme="majorEastAsia" w:cstheme="majorBidi"/>
      <w:i/>
      <w:iCs/>
      <w:color w:val="272727" w:themeColor="text1" w:themeTint="D8"/>
    </w:rPr>
  </w:style>
  <w:style w:type="character" w:customStyle="1" w:styleId="90">
    <w:name w:val="标题 9 字符"/>
    <w:basedOn w:val="a1"/>
    <w:link w:val="9"/>
    <w:uiPriority w:val="9"/>
    <w:semiHidden/>
    <w:rsid w:val="00A10FD9"/>
    <w:rPr>
      <w:rFonts w:eastAsiaTheme="majorEastAsia" w:cstheme="majorBidi"/>
      <w:color w:val="272727" w:themeColor="text1" w:themeTint="D8"/>
    </w:rPr>
  </w:style>
  <w:style w:type="paragraph" w:styleId="aa">
    <w:name w:val="Block Text"/>
    <w:basedOn w:val="a0"/>
    <w:next w:val="a0"/>
    <w:uiPriority w:val="9"/>
    <w:unhideWhenUsed/>
    <w:qFormat/>
    <w:pPr>
      <w:spacing w:before="100" w:after="100"/>
      <w:ind w:left="480" w:right="480"/>
    </w:pPr>
  </w:style>
  <w:style w:type="paragraph" w:styleId="ab">
    <w:name w:val="footnote text"/>
    <w:basedOn w:val="a"/>
    <w:uiPriority w:val="9"/>
    <w:unhideWhenUsed/>
    <w:qFormat/>
  </w:style>
  <w:style w:type="paragraph" w:customStyle="1" w:styleId="FootnoteBlockText">
    <w:name w:val="Footnote Block Text"/>
    <w:basedOn w:val="ab"/>
    <w:next w:val="ab"/>
    <w:uiPriority w:val="9"/>
    <w:unhideWhenUsed/>
    <w:qFormat/>
    <w:pPr>
      <w:spacing w:before="100" w:after="100"/>
      <w:ind w:left="480" w:right="480"/>
    </w:pPr>
  </w:style>
  <w:style w:type="table" w:customStyle="1" w:styleId="Table">
    <w:name w:val="Table"/>
    <w:semiHidden/>
    <w:unhideWhenUsed/>
    <w:qFormat/>
    <w:tblPr>
      <w:tblInd w:w="0" w:type="dxa"/>
      <w:tblCellMar>
        <w:top w:w="0" w:type="dxa"/>
        <w:left w:w="108" w:type="dxa"/>
        <w:bottom w:w="0" w:type="dxa"/>
        <w:right w:w="108" w:type="dxa"/>
      </w:tblCellMar>
    </w:tblPr>
    <w:tblStylePr w:type="firstRow">
      <w:tblPr/>
      <w:tcPr>
        <w:tcBorders>
          <w:bottom w:val="single" w:sz="0" w:space="0" w:color="auto"/>
        </w:tcBorders>
        <w:vAlign w:val="bottom"/>
      </w:tcPr>
    </w:tblStylePr>
  </w:style>
  <w:style w:type="paragraph" w:customStyle="1" w:styleId="DefinitionTerm">
    <w:name w:val="Definition Term"/>
    <w:basedOn w:val="a"/>
    <w:next w:val="Definition"/>
    <w:pPr>
      <w:keepNext/>
      <w:keepLines/>
      <w:spacing w:after="0"/>
    </w:pPr>
    <w:rPr>
      <w:b/>
    </w:rPr>
  </w:style>
  <w:style w:type="paragraph" w:customStyle="1" w:styleId="Definition">
    <w:name w:val="Definition"/>
    <w:basedOn w:val="a"/>
  </w:style>
  <w:style w:type="paragraph" w:styleId="ac">
    <w:name w:val="caption"/>
    <w:basedOn w:val="a"/>
    <w:link w:val="ad"/>
    <w:pPr>
      <w:spacing w:after="120"/>
    </w:pPr>
    <w:rPr>
      <w:i/>
    </w:rPr>
  </w:style>
  <w:style w:type="paragraph" w:customStyle="1" w:styleId="TableCaption">
    <w:name w:val="Table Caption"/>
    <w:basedOn w:val="ac"/>
    <w:pPr>
      <w:keepNext/>
    </w:pPr>
  </w:style>
  <w:style w:type="paragraph" w:customStyle="1" w:styleId="ImageCaption">
    <w:name w:val="Image Caption"/>
    <w:basedOn w:val="ac"/>
  </w:style>
  <w:style w:type="paragraph" w:customStyle="1" w:styleId="Figure">
    <w:name w:val="Figure"/>
    <w:basedOn w:val="a"/>
  </w:style>
  <w:style w:type="paragraph" w:customStyle="1" w:styleId="CaptionedFigure">
    <w:name w:val="Captioned Figure"/>
    <w:basedOn w:val="Figure"/>
    <w:pPr>
      <w:keepNext/>
    </w:pPr>
  </w:style>
  <w:style w:type="character" w:customStyle="1" w:styleId="ad">
    <w:name w:val="题注 字符"/>
    <w:basedOn w:val="a1"/>
    <w:link w:val="ac"/>
  </w:style>
  <w:style w:type="character" w:customStyle="1" w:styleId="VerbatimChar">
    <w:name w:val="Verbatim Char"/>
    <w:basedOn w:val="ad"/>
    <w:link w:val="SourceCode"/>
    <w:rPr>
      <w:rFonts w:ascii="Consolas" w:hAnsi="Consolas"/>
      <w:sz w:val="22"/>
    </w:rPr>
  </w:style>
  <w:style w:type="character" w:customStyle="1" w:styleId="SectionNumber">
    <w:name w:val="Section Number"/>
    <w:basedOn w:val="ad"/>
  </w:style>
  <w:style w:type="character" w:styleId="ae">
    <w:name w:val="footnote reference"/>
    <w:basedOn w:val="ad"/>
    <w:rPr>
      <w:vertAlign w:val="superscript"/>
    </w:rPr>
  </w:style>
  <w:style w:type="character" w:styleId="af">
    <w:name w:val="Hyperlink"/>
    <w:basedOn w:val="ad"/>
    <w:rPr>
      <w:color w:val="156082" w:themeColor="accent1"/>
    </w:rPr>
  </w:style>
  <w:style w:type="paragraph" w:styleId="TOC">
    <w:name w:val="TOC Heading"/>
    <w:basedOn w:val="1"/>
    <w:next w:val="a0"/>
    <w:uiPriority w:val="39"/>
    <w:unhideWhenUsed/>
    <w:qFormat/>
    <w:pPr>
      <w:spacing w:before="240" w:line="259" w:lineRule="auto"/>
      <w:outlineLvl w:val="9"/>
    </w:pPr>
  </w:style>
  <w:style w:type="paragraph" w:customStyle="1" w:styleId="SourceCode">
    <w:name w:val="Source Code"/>
    <w:basedOn w:val="a"/>
    <w:link w:val="VerbatimChar"/>
    <w:pPr>
      <w:wordWrap w:val="0"/>
    </w:pPr>
  </w:style>
  <w:style w:type="character" w:customStyle="1" w:styleId="KeywordTok">
    <w:name w:val="KeywordTok"/>
    <w:basedOn w:val="VerbatimChar"/>
    <w:rPr>
      <w:rFonts w:ascii="Consolas" w:hAnsi="Consolas"/>
      <w:b/>
      <w:color w:val="007020"/>
      <w:sz w:val="22"/>
    </w:rPr>
  </w:style>
  <w:style w:type="character" w:customStyle="1" w:styleId="DataTypeTok">
    <w:name w:val="DataTypeTok"/>
    <w:basedOn w:val="VerbatimChar"/>
    <w:rPr>
      <w:rFonts w:ascii="Consolas" w:hAnsi="Consolas"/>
      <w:color w:val="902000"/>
      <w:sz w:val="22"/>
    </w:rPr>
  </w:style>
  <w:style w:type="character" w:customStyle="1" w:styleId="DecValTok">
    <w:name w:val="DecValTok"/>
    <w:basedOn w:val="VerbatimChar"/>
    <w:rPr>
      <w:rFonts w:ascii="Consolas" w:hAnsi="Consolas"/>
      <w:color w:val="40A070"/>
      <w:sz w:val="22"/>
    </w:rPr>
  </w:style>
  <w:style w:type="character" w:customStyle="1" w:styleId="BaseNTok">
    <w:name w:val="BaseNTok"/>
    <w:basedOn w:val="VerbatimChar"/>
    <w:rPr>
      <w:rFonts w:ascii="Consolas" w:hAnsi="Consolas"/>
      <w:color w:val="40A070"/>
      <w:sz w:val="22"/>
    </w:rPr>
  </w:style>
  <w:style w:type="character" w:customStyle="1" w:styleId="FloatTok">
    <w:name w:val="FloatTok"/>
    <w:basedOn w:val="VerbatimChar"/>
    <w:rPr>
      <w:rFonts w:ascii="Consolas" w:hAnsi="Consolas"/>
      <w:color w:val="40A070"/>
      <w:sz w:val="22"/>
    </w:rPr>
  </w:style>
  <w:style w:type="character" w:customStyle="1" w:styleId="ConstantTok">
    <w:name w:val="ConstantTok"/>
    <w:basedOn w:val="VerbatimChar"/>
    <w:rPr>
      <w:rFonts w:ascii="Consolas" w:hAnsi="Consolas"/>
      <w:color w:val="880000"/>
      <w:sz w:val="22"/>
    </w:rPr>
  </w:style>
  <w:style w:type="character" w:customStyle="1" w:styleId="CharTok">
    <w:name w:val="CharTok"/>
    <w:basedOn w:val="VerbatimChar"/>
    <w:rPr>
      <w:rFonts w:ascii="Consolas" w:hAnsi="Consolas"/>
      <w:color w:val="4070A0"/>
      <w:sz w:val="22"/>
    </w:rPr>
  </w:style>
  <w:style w:type="character" w:customStyle="1" w:styleId="SpecialCharTok">
    <w:name w:val="SpecialCharTok"/>
    <w:basedOn w:val="VerbatimChar"/>
    <w:rPr>
      <w:rFonts w:ascii="Consolas" w:hAnsi="Consolas"/>
      <w:color w:val="4070A0"/>
      <w:sz w:val="22"/>
    </w:rPr>
  </w:style>
  <w:style w:type="character" w:customStyle="1" w:styleId="StringTok">
    <w:name w:val="StringTok"/>
    <w:basedOn w:val="VerbatimChar"/>
    <w:rPr>
      <w:rFonts w:ascii="Consolas" w:hAnsi="Consolas"/>
      <w:color w:val="4070A0"/>
      <w:sz w:val="22"/>
    </w:rPr>
  </w:style>
  <w:style w:type="character" w:customStyle="1" w:styleId="VerbatimStringTok">
    <w:name w:val="VerbatimStringTok"/>
    <w:basedOn w:val="VerbatimChar"/>
    <w:rPr>
      <w:rFonts w:ascii="Consolas" w:hAnsi="Consolas"/>
      <w:color w:val="4070A0"/>
      <w:sz w:val="22"/>
    </w:rPr>
  </w:style>
  <w:style w:type="character" w:customStyle="1" w:styleId="SpecialStringTok">
    <w:name w:val="SpecialStringTok"/>
    <w:basedOn w:val="VerbatimChar"/>
    <w:rPr>
      <w:rFonts w:ascii="Consolas" w:hAnsi="Consolas"/>
      <w:color w:val="BB6688"/>
      <w:sz w:val="22"/>
    </w:rPr>
  </w:style>
  <w:style w:type="character" w:customStyle="1" w:styleId="ImportTok">
    <w:name w:val="ImportTok"/>
    <w:basedOn w:val="VerbatimChar"/>
    <w:rPr>
      <w:rFonts w:ascii="Consolas" w:hAnsi="Consolas"/>
      <w:b/>
      <w:color w:val="008000"/>
      <w:sz w:val="22"/>
    </w:rPr>
  </w:style>
  <w:style w:type="character" w:customStyle="1" w:styleId="CommentTok">
    <w:name w:val="CommentTok"/>
    <w:basedOn w:val="VerbatimChar"/>
    <w:rPr>
      <w:rFonts w:ascii="Consolas" w:hAnsi="Consolas"/>
      <w:i/>
      <w:color w:val="60A0B0"/>
      <w:sz w:val="22"/>
    </w:rPr>
  </w:style>
  <w:style w:type="character" w:customStyle="1" w:styleId="DocumentationTok">
    <w:name w:val="DocumentationTok"/>
    <w:basedOn w:val="VerbatimChar"/>
    <w:rPr>
      <w:rFonts w:ascii="Consolas" w:hAnsi="Consolas"/>
      <w:i/>
      <w:color w:val="BA2121"/>
      <w:sz w:val="22"/>
    </w:rPr>
  </w:style>
  <w:style w:type="character" w:customStyle="1" w:styleId="AnnotationTok">
    <w:name w:val="AnnotationTok"/>
    <w:basedOn w:val="VerbatimChar"/>
    <w:rPr>
      <w:rFonts w:ascii="Consolas" w:hAnsi="Consolas"/>
      <w:b/>
      <w:i/>
      <w:color w:val="60A0B0"/>
      <w:sz w:val="22"/>
    </w:rPr>
  </w:style>
  <w:style w:type="character" w:customStyle="1" w:styleId="CommentVarTok">
    <w:name w:val="CommentVarTok"/>
    <w:basedOn w:val="VerbatimChar"/>
    <w:rPr>
      <w:rFonts w:ascii="Consolas" w:hAnsi="Consolas"/>
      <w:b/>
      <w:i/>
      <w:color w:val="60A0B0"/>
      <w:sz w:val="22"/>
    </w:rPr>
  </w:style>
  <w:style w:type="character" w:customStyle="1" w:styleId="OtherTok">
    <w:name w:val="OtherTok"/>
    <w:basedOn w:val="VerbatimChar"/>
    <w:rPr>
      <w:rFonts w:ascii="Consolas" w:hAnsi="Consolas"/>
      <w:color w:val="007020"/>
      <w:sz w:val="22"/>
    </w:rPr>
  </w:style>
  <w:style w:type="character" w:customStyle="1" w:styleId="FunctionTok">
    <w:name w:val="FunctionTok"/>
    <w:basedOn w:val="VerbatimChar"/>
    <w:rPr>
      <w:rFonts w:ascii="Consolas" w:hAnsi="Consolas"/>
      <w:color w:val="06287E"/>
      <w:sz w:val="22"/>
    </w:rPr>
  </w:style>
  <w:style w:type="character" w:customStyle="1" w:styleId="VariableTok">
    <w:name w:val="VariableTok"/>
    <w:basedOn w:val="VerbatimChar"/>
    <w:rPr>
      <w:rFonts w:ascii="Consolas" w:hAnsi="Consolas"/>
      <w:color w:val="19177C"/>
      <w:sz w:val="22"/>
    </w:rPr>
  </w:style>
  <w:style w:type="character" w:customStyle="1" w:styleId="ControlFlowTok">
    <w:name w:val="ControlFlowTok"/>
    <w:basedOn w:val="VerbatimChar"/>
    <w:rPr>
      <w:rFonts w:ascii="Consolas" w:hAnsi="Consolas"/>
      <w:b/>
      <w:color w:val="007020"/>
      <w:sz w:val="22"/>
    </w:rPr>
  </w:style>
  <w:style w:type="character" w:customStyle="1" w:styleId="OperatorTok">
    <w:name w:val="OperatorTok"/>
    <w:basedOn w:val="VerbatimChar"/>
    <w:rPr>
      <w:rFonts w:ascii="Consolas" w:hAnsi="Consolas"/>
      <w:color w:val="666666"/>
      <w:sz w:val="22"/>
    </w:rPr>
  </w:style>
  <w:style w:type="character" w:customStyle="1" w:styleId="BuiltInTok">
    <w:name w:val="BuiltInTok"/>
    <w:basedOn w:val="VerbatimChar"/>
    <w:rPr>
      <w:rFonts w:ascii="Consolas" w:hAnsi="Consolas"/>
      <w:color w:val="008000"/>
      <w:sz w:val="22"/>
    </w:rPr>
  </w:style>
  <w:style w:type="character" w:customStyle="1" w:styleId="ExtensionTok">
    <w:name w:val="ExtensionTok"/>
    <w:basedOn w:val="VerbatimChar"/>
    <w:rPr>
      <w:rFonts w:ascii="Consolas" w:hAnsi="Consolas"/>
      <w:sz w:val="22"/>
    </w:rPr>
  </w:style>
  <w:style w:type="character" w:customStyle="1" w:styleId="PreprocessorTok">
    <w:name w:val="PreprocessorTok"/>
    <w:basedOn w:val="VerbatimChar"/>
    <w:rPr>
      <w:rFonts w:ascii="Consolas" w:hAnsi="Consolas"/>
      <w:color w:val="BC7A00"/>
      <w:sz w:val="22"/>
    </w:rPr>
  </w:style>
  <w:style w:type="character" w:customStyle="1" w:styleId="AttributeTok">
    <w:name w:val="AttributeTok"/>
    <w:basedOn w:val="VerbatimChar"/>
    <w:rPr>
      <w:rFonts w:ascii="Consolas" w:hAnsi="Consolas"/>
      <w:color w:val="7D9029"/>
      <w:sz w:val="22"/>
    </w:rPr>
  </w:style>
  <w:style w:type="character" w:customStyle="1" w:styleId="RegionMarkerTok">
    <w:name w:val="RegionMarkerTok"/>
    <w:basedOn w:val="VerbatimChar"/>
    <w:rPr>
      <w:rFonts w:ascii="Consolas" w:hAnsi="Consolas"/>
      <w:sz w:val="22"/>
    </w:rPr>
  </w:style>
  <w:style w:type="character" w:customStyle="1" w:styleId="InformationTok">
    <w:name w:val="InformationTok"/>
    <w:basedOn w:val="VerbatimChar"/>
    <w:rPr>
      <w:rFonts w:ascii="Consolas" w:hAnsi="Consolas"/>
      <w:b/>
      <w:i/>
      <w:color w:val="60A0B0"/>
      <w:sz w:val="22"/>
    </w:rPr>
  </w:style>
  <w:style w:type="character" w:customStyle="1" w:styleId="WarningTok">
    <w:name w:val="WarningTok"/>
    <w:basedOn w:val="VerbatimChar"/>
    <w:rPr>
      <w:rFonts w:ascii="Consolas" w:hAnsi="Consolas"/>
      <w:b/>
      <w:i/>
      <w:color w:val="60A0B0"/>
      <w:sz w:val="22"/>
    </w:rPr>
  </w:style>
  <w:style w:type="character" w:customStyle="1" w:styleId="AlertTok">
    <w:name w:val="AlertTok"/>
    <w:basedOn w:val="VerbatimChar"/>
    <w:rPr>
      <w:rFonts w:ascii="Consolas" w:hAnsi="Consolas"/>
      <w:b/>
      <w:color w:val="FF0000"/>
      <w:sz w:val="22"/>
    </w:rPr>
  </w:style>
  <w:style w:type="character" w:customStyle="1" w:styleId="ErrorTok">
    <w:name w:val="ErrorTok"/>
    <w:basedOn w:val="VerbatimChar"/>
    <w:rPr>
      <w:rFonts w:ascii="Consolas" w:hAnsi="Consolas"/>
      <w:b/>
      <w:color w:val="FF0000"/>
      <w:sz w:val="22"/>
    </w:rPr>
  </w:style>
  <w:style w:type="character" w:customStyle="1" w:styleId="NormalTok">
    <w:name w:val="NormalTok"/>
    <w:basedOn w:val="VerbatimChar"/>
    <w:rPr>
      <w:rFonts w:ascii="Consolas" w:hAnsi="Consolas"/>
      <w:sz w:val="22"/>
    </w:rPr>
  </w:style>
  <w:style w:type="paragraph" w:styleId="af0">
    <w:name w:val="header"/>
    <w:basedOn w:val="a"/>
    <w:link w:val="af1"/>
    <w:rsid w:val="00CA1B76"/>
    <w:pPr>
      <w:tabs>
        <w:tab w:val="center" w:pos="4153"/>
        <w:tab w:val="right" w:pos="8306"/>
      </w:tabs>
      <w:snapToGrid w:val="0"/>
      <w:jc w:val="center"/>
    </w:pPr>
    <w:rPr>
      <w:sz w:val="18"/>
      <w:szCs w:val="18"/>
    </w:rPr>
  </w:style>
  <w:style w:type="character" w:customStyle="1" w:styleId="af1">
    <w:name w:val="页眉 字符"/>
    <w:basedOn w:val="a1"/>
    <w:link w:val="af0"/>
    <w:rsid w:val="00CA1B76"/>
    <w:rPr>
      <w:sz w:val="18"/>
      <w:szCs w:val="18"/>
    </w:rPr>
  </w:style>
  <w:style w:type="paragraph" w:styleId="af2">
    <w:name w:val="footer"/>
    <w:basedOn w:val="a"/>
    <w:link w:val="af3"/>
    <w:rsid w:val="00CA1B76"/>
    <w:pPr>
      <w:tabs>
        <w:tab w:val="center" w:pos="4153"/>
        <w:tab w:val="right" w:pos="8306"/>
      </w:tabs>
      <w:snapToGrid w:val="0"/>
    </w:pPr>
    <w:rPr>
      <w:sz w:val="18"/>
      <w:szCs w:val="18"/>
    </w:rPr>
  </w:style>
  <w:style w:type="character" w:customStyle="1" w:styleId="af3">
    <w:name w:val="页脚 字符"/>
    <w:basedOn w:val="a1"/>
    <w:link w:val="af2"/>
    <w:rsid w:val="00CA1B76"/>
    <w:rPr>
      <w:sz w:val="18"/>
      <w:szCs w:val="18"/>
    </w:rPr>
  </w:style>
  <w:style w:type="table" w:customStyle="1" w:styleId="Table1">
    <w:name w:val="Table1"/>
    <w:semiHidden/>
    <w:qFormat/>
    <w:rsid w:val="00CA1B76"/>
    <w:rPr>
      <w:rFonts w:ascii="Aptos" w:eastAsia="Times New Roman" w:hAnsi="Aptos" w:cs="Times New Roman"/>
      <w:sz w:val="20"/>
      <w:szCs w:val="20"/>
    </w:rPr>
    <w:tblPr>
      <w:tblCellMar>
        <w:top w:w="0" w:type="dxa"/>
        <w:left w:w="108" w:type="dxa"/>
        <w:bottom w:w="0" w:type="dxa"/>
        <w:right w:w="108" w:type="dxa"/>
      </w:tblCellMar>
    </w:tblPr>
    <w:tblStylePr w:type="firstRow">
      <w:tblPr/>
      <w:tcPr>
        <w:tcBorders>
          <w:bottom w:val="single" w:sz="2" w:space="0" w:color="auto"/>
        </w:tcBorders>
        <w:vAlign w:val="bottom"/>
      </w:tcPr>
    </w:tblStylePr>
  </w:style>
  <w:style w:type="table" w:customStyle="1" w:styleId="Table2">
    <w:name w:val="Table2"/>
    <w:semiHidden/>
    <w:qFormat/>
    <w:rsid w:val="00CA1B76"/>
    <w:rPr>
      <w:rFonts w:ascii="Aptos" w:eastAsia="Times New Roman" w:hAnsi="Aptos" w:cs="Times New Roman"/>
      <w:sz w:val="20"/>
      <w:szCs w:val="20"/>
    </w:rPr>
    <w:tblPr>
      <w:tblCellMar>
        <w:top w:w="0" w:type="dxa"/>
        <w:left w:w="108" w:type="dxa"/>
        <w:bottom w:w="0" w:type="dxa"/>
        <w:right w:w="108" w:type="dxa"/>
      </w:tblCellMar>
    </w:tblPr>
    <w:tblStylePr w:type="firstRow">
      <w:tblPr/>
      <w:tcPr>
        <w:tcBorders>
          <w:bottom w:val="single" w:sz="2" w:space="0" w:color="auto"/>
        </w:tcBorders>
        <w:vAlign w:val="bottom"/>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4</TotalTime>
  <Pages>12</Pages>
  <Words>1548</Words>
  <Characters>8824</Characters>
  <Application>Microsoft Office Word</Application>
  <DocSecurity>0</DocSecurity>
  <Lines>73</Lines>
  <Paragraphs>20</Paragraphs>
  <ScaleCrop>false</ScaleCrop>
  <Company/>
  <LinksUpToDate>false</LinksUpToDate>
  <CharactersWithSpaces>10352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A</dc:creator>
  <cp:keywords/>
  <cp:lastModifiedBy>Lynn</cp:lastModifiedBy>
  <cp:revision>3</cp:revision>
  <dcterms:created xsi:type="dcterms:W3CDTF">2026-07-10T08:20:00Z</dcterms:created>
  <dcterms:modified xsi:type="dcterms:W3CDTF">2026-07-22T10:07:00Z</dcterms:modified>
</cp:coreProperties>
</file>